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247E9" w14:textId="530B3C79" w:rsidR="00AC1874" w:rsidRPr="00C47C03" w:rsidRDefault="00AC1874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>Who is a VAT registered taxpayer?</w:t>
      </w:r>
    </w:p>
    <w:p w14:paraId="172D739D" w14:textId="7345C076" w:rsidR="00AC1874" w:rsidRPr="00C47C03" w:rsidRDefault="00AC1874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 xml:space="preserve">This is a business that makes total sales above </w:t>
      </w:r>
      <w:proofErr w:type="spellStart"/>
      <w:r w:rsidRPr="00C47C03">
        <w:rPr>
          <w:rFonts w:ascii="Bookman Old Style" w:hAnsi="Bookman Old Style" w:cs="Segoe UI"/>
          <w:color w:val="000000" w:themeColor="text1"/>
        </w:rPr>
        <w:t>Ugx</w:t>
      </w:r>
      <w:proofErr w:type="spellEnd"/>
      <w:r w:rsidRPr="00C47C03">
        <w:rPr>
          <w:rFonts w:ascii="Bookman Old Style" w:hAnsi="Bookman Old Style" w:cs="Segoe UI"/>
          <w:color w:val="000000" w:themeColor="text1"/>
        </w:rPr>
        <w:t xml:space="preserve"> 150,000,000 in a year and deals in taxable supplies</w:t>
      </w:r>
      <w:r w:rsidR="00E93014" w:rsidRPr="00C47C03">
        <w:rPr>
          <w:rFonts w:ascii="Bookman Old Style" w:hAnsi="Bookman Old Style" w:cs="Segoe UI"/>
          <w:color w:val="000000" w:themeColor="text1"/>
        </w:rPr>
        <w:t>.</w:t>
      </w:r>
    </w:p>
    <w:p w14:paraId="55F56208" w14:textId="27311D3D" w:rsidR="00E93014" w:rsidRPr="00C47C03" w:rsidRDefault="00E93014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If you run any business in this category and are not yet registered, you’re advised to register for VAT.</w:t>
      </w:r>
    </w:p>
    <w:p w14:paraId="223B7026" w14:textId="7685D737" w:rsidR="00E93014" w:rsidRPr="00C47C03" w:rsidRDefault="00E93014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70C0"/>
          <w:u w:val="single"/>
        </w:rPr>
        <w:t>Click here</w:t>
      </w:r>
      <w:r w:rsidRPr="00C47C03">
        <w:rPr>
          <w:rFonts w:ascii="Bookman Old Style" w:hAnsi="Bookman Old Style" w:cs="Segoe UI"/>
          <w:color w:val="0070C0"/>
        </w:rPr>
        <w:t xml:space="preserve"> </w:t>
      </w:r>
      <w:r w:rsidRPr="00C47C03">
        <w:rPr>
          <w:rFonts w:ascii="Bookman Old Style" w:hAnsi="Bookman Old Style" w:cs="Segoe UI"/>
          <w:color w:val="000000" w:themeColor="text1"/>
        </w:rPr>
        <w:t>to register for VAT</w:t>
      </w:r>
    </w:p>
    <w:p w14:paraId="20AB7858" w14:textId="53F209DB" w:rsidR="00AC1874" w:rsidRPr="00C47C03" w:rsidRDefault="00AC1874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>What are examples of businesses in this category?</w:t>
      </w:r>
    </w:p>
    <w:p w14:paraId="0770F306" w14:textId="7FCCC83D" w:rsidR="00AC1874" w:rsidRPr="00C47C03" w:rsidRDefault="00AC1874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 xml:space="preserve">In this category, businesses considered include supermarkets, hardware shops, general merchandise shops, distributors and agents, </w:t>
      </w:r>
      <w:r w:rsidR="00E93014" w:rsidRPr="00C47C03">
        <w:rPr>
          <w:rFonts w:ascii="Bookman Old Style" w:hAnsi="Bookman Old Style" w:cs="Segoe UI"/>
          <w:color w:val="000000" w:themeColor="text1"/>
        </w:rPr>
        <w:t>electronics and electrical appliances shops etc.</w:t>
      </w:r>
    </w:p>
    <w:p w14:paraId="209F709E" w14:textId="77777777" w:rsidR="00F2295B" w:rsidRPr="00C47C03" w:rsidRDefault="00F2295B" w:rsidP="00F2295B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>What are my obligations as a VAT registered taxpayer?</w:t>
      </w:r>
    </w:p>
    <w:p w14:paraId="0A311718" w14:textId="08C2EFF8" w:rsidR="00F2295B" w:rsidRPr="00C47C03" w:rsidRDefault="00F2295B" w:rsidP="005D7711">
      <w:pPr>
        <w:pStyle w:val="ListParagraph"/>
        <w:numPr>
          <w:ilvl w:val="0"/>
          <w:numId w:val="4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Register for EFRIS</w:t>
      </w:r>
    </w:p>
    <w:p w14:paraId="06F2C95F" w14:textId="41254BB6" w:rsidR="00F2295B" w:rsidRPr="00C47C03" w:rsidRDefault="00F2295B" w:rsidP="00F2295B">
      <w:pPr>
        <w:pStyle w:val="ListParagraph"/>
        <w:numPr>
          <w:ilvl w:val="0"/>
          <w:numId w:val="4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Charge and collect VAT on taxable supplies by issuing a tax invoice</w:t>
      </w:r>
    </w:p>
    <w:p w14:paraId="4ED656A3" w14:textId="0CDF4CC9" w:rsidR="00F2295B" w:rsidRPr="00C47C03" w:rsidRDefault="00F2295B" w:rsidP="00F2295B">
      <w:pPr>
        <w:pStyle w:val="ListParagraph"/>
        <w:numPr>
          <w:ilvl w:val="0"/>
          <w:numId w:val="4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File a VAT return within 15 days after the end of the month</w:t>
      </w:r>
    </w:p>
    <w:p w14:paraId="6D916799" w14:textId="7896D9F3" w:rsidR="005D7711" w:rsidRPr="00C47C03" w:rsidRDefault="005D7711" w:rsidP="00F2295B">
      <w:pPr>
        <w:pStyle w:val="ListParagraph"/>
        <w:numPr>
          <w:ilvl w:val="0"/>
          <w:numId w:val="4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 xml:space="preserve">Maintain proper business records </w:t>
      </w:r>
    </w:p>
    <w:p w14:paraId="4E34494B" w14:textId="327150AD" w:rsidR="005D7711" w:rsidRPr="00C47C03" w:rsidRDefault="005D7711" w:rsidP="00F2295B">
      <w:pPr>
        <w:pStyle w:val="ListParagraph"/>
        <w:numPr>
          <w:ilvl w:val="0"/>
          <w:numId w:val="4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Avoid making false, reckless and misleading statements</w:t>
      </w:r>
    </w:p>
    <w:p w14:paraId="09C456A4" w14:textId="12AB4CC4" w:rsidR="00F2295B" w:rsidRPr="00C47C03" w:rsidRDefault="00F2295B" w:rsidP="00F2295B">
      <w:pPr>
        <w:pStyle w:val="ListParagraph"/>
        <w:numPr>
          <w:ilvl w:val="0"/>
          <w:numId w:val="4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Pay VAT due as assessed in the return within 15 days after the end of the month</w:t>
      </w:r>
    </w:p>
    <w:p w14:paraId="50ACBF2A" w14:textId="11B04A35" w:rsidR="00F2295B" w:rsidRPr="00C47C03" w:rsidRDefault="00F2295B" w:rsidP="00F2295B">
      <w:pPr>
        <w:jc w:val="both"/>
        <w:rPr>
          <w:rFonts w:ascii="Bookman Old Style" w:hAnsi="Bookman Old Style" w:cs="Segoe UI"/>
          <w:i/>
          <w:color w:val="000000" w:themeColor="text1"/>
        </w:rPr>
      </w:pPr>
      <w:r w:rsidRPr="00C47C03">
        <w:rPr>
          <w:rFonts w:ascii="Bookman Old Style" w:hAnsi="Bookman Old Style" w:cs="Segoe UI"/>
          <w:i/>
          <w:color w:val="000000" w:themeColor="text1"/>
        </w:rPr>
        <w:t>The due date for filing a VAT return is the same for payment</w:t>
      </w:r>
    </w:p>
    <w:p w14:paraId="331B9BA3" w14:textId="5D535ABD" w:rsidR="005D7711" w:rsidRPr="00C47C03" w:rsidRDefault="005D7711" w:rsidP="00F2295B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>What are the benefits of VAT registration?</w:t>
      </w:r>
    </w:p>
    <w:p w14:paraId="61CCFCC5" w14:textId="5810E623" w:rsidR="005D7711" w:rsidRPr="00C47C03" w:rsidRDefault="005D7711" w:rsidP="005D7711">
      <w:pPr>
        <w:pStyle w:val="ListParagraph"/>
        <w:numPr>
          <w:ilvl w:val="0"/>
          <w:numId w:val="5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You’re in position to supply large and/or reputable businesses which leads to more profits and business growth</w:t>
      </w:r>
    </w:p>
    <w:p w14:paraId="252CBABC" w14:textId="4874AFD1" w:rsidR="005D7711" w:rsidRPr="00C47C03" w:rsidRDefault="005D7711" w:rsidP="005D7711">
      <w:pPr>
        <w:pStyle w:val="ListParagraph"/>
        <w:numPr>
          <w:ilvl w:val="0"/>
          <w:numId w:val="5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 xml:space="preserve">You avoid inconveniences arising from unfair assessments </w:t>
      </w:r>
    </w:p>
    <w:p w14:paraId="45B909D4" w14:textId="4FBA52FE" w:rsidR="00AC1874" w:rsidRPr="00C47C03" w:rsidRDefault="00AC1874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 xml:space="preserve">What </w:t>
      </w:r>
      <w:r w:rsidR="00E93014" w:rsidRPr="00C47C03">
        <w:rPr>
          <w:rFonts w:ascii="Bookman Old Style" w:hAnsi="Bookman Old Style" w:cs="Segoe UI"/>
          <w:b/>
          <w:color w:val="000000" w:themeColor="text1"/>
        </w:rPr>
        <w:t>taxes are payable by this</w:t>
      </w:r>
      <w:r w:rsidRPr="00C47C03">
        <w:rPr>
          <w:rFonts w:ascii="Bookman Old Style" w:hAnsi="Bookman Old Style" w:cs="Segoe UI"/>
          <w:b/>
          <w:color w:val="000000" w:themeColor="text1"/>
        </w:rPr>
        <w:t xml:space="preserve"> business</w:t>
      </w:r>
      <w:r w:rsidR="00E93014" w:rsidRPr="00C47C03">
        <w:rPr>
          <w:rFonts w:ascii="Bookman Old Style" w:hAnsi="Bookman Old Style" w:cs="Segoe UI"/>
          <w:b/>
          <w:color w:val="000000" w:themeColor="text1"/>
        </w:rPr>
        <w:t xml:space="preserve"> category</w:t>
      </w:r>
      <w:r w:rsidRPr="00C47C03">
        <w:rPr>
          <w:rFonts w:ascii="Bookman Old Style" w:hAnsi="Bookman Old Style" w:cs="Segoe UI"/>
          <w:b/>
          <w:color w:val="000000" w:themeColor="text1"/>
        </w:rPr>
        <w:t>?</w:t>
      </w:r>
    </w:p>
    <w:p w14:paraId="651F9823" w14:textId="77777777" w:rsidR="00E93014" w:rsidRPr="00C47C03" w:rsidRDefault="00E93014" w:rsidP="00E93014">
      <w:pPr>
        <w:pStyle w:val="ListParagraph"/>
        <w:numPr>
          <w:ilvl w:val="0"/>
          <w:numId w:val="3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 xml:space="preserve">Income (Corporation) tax at a standard rate of 30%. </w:t>
      </w:r>
    </w:p>
    <w:p w14:paraId="46D169A1" w14:textId="4FC741C0" w:rsidR="00E93014" w:rsidRPr="00C47C03" w:rsidRDefault="00E93014" w:rsidP="00E93014">
      <w:pPr>
        <w:pStyle w:val="ListParagraph"/>
        <w:numPr>
          <w:ilvl w:val="0"/>
          <w:numId w:val="3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 xml:space="preserve">Pay </w:t>
      </w:r>
      <w:proofErr w:type="gramStart"/>
      <w:r w:rsidRPr="00C47C03">
        <w:rPr>
          <w:rFonts w:ascii="Bookman Old Style" w:hAnsi="Bookman Old Style" w:cs="Segoe UI"/>
          <w:color w:val="000000" w:themeColor="text1"/>
        </w:rPr>
        <w:t>As</w:t>
      </w:r>
      <w:proofErr w:type="gramEnd"/>
      <w:r w:rsidRPr="00C47C03">
        <w:rPr>
          <w:rFonts w:ascii="Bookman Old Style" w:hAnsi="Bookman Old Style" w:cs="Segoe UI"/>
          <w:color w:val="000000" w:themeColor="text1"/>
        </w:rPr>
        <w:t xml:space="preserve"> You Earn (PAYE) if you have employees that earn salary abo</w:t>
      </w:r>
      <w:r w:rsidR="00A47176" w:rsidRPr="00C47C03">
        <w:rPr>
          <w:rFonts w:ascii="Bookman Old Style" w:hAnsi="Bookman Old Style" w:cs="Segoe UI"/>
          <w:color w:val="000000" w:themeColor="text1"/>
        </w:rPr>
        <w:t xml:space="preserve">ve </w:t>
      </w:r>
      <w:proofErr w:type="spellStart"/>
      <w:r w:rsidR="00A47176" w:rsidRPr="00C47C03">
        <w:rPr>
          <w:rFonts w:ascii="Bookman Old Style" w:hAnsi="Bookman Old Style" w:cs="Segoe UI"/>
          <w:color w:val="000000" w:themeColor="text1"/>
        </w:rPr>
        <w:t>Ugx</w:t>
      </w:r>
      <w:proofErr w:type="spellEnd"/>
      <w:r w:rsidR="00A47176" w:rsidRPr="00C47C03">
        <w:rPr>
          <w:rFonts w:ascii="Bookman Old Style" w:hAnsi="Bookman Old Style" w:cs="Segoe UI"/>
          <w:color w:val="000000" w:themeColor="text1"/>
        </w:rPr>
        <w:t xml:space="preserve"> 235,000</w:t>
      </w:r>
    </w:p>
    <w:p w14:paraId="29DA2CAE" w14:textId="0647DAEA" w:rsidR="00E93014" w:rsidRPr="00C47C03" w:rsidRDefault="00E93014" w:rsidP="00E93014">
      <w:pPr>
        <w:pStyle w:val="ListParagraph"/>
        <w:numPr>
          <w:ilvl w:val="0"/>
          <w:numId w:val="3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Value Added Tax (VAT)</w:t>
      </w:r>
    </w:p>
    <w:p w14:paraId="0E3C6512" w14:textId="588A3253" w:rsidR="00F2295B" w:rsidRPr="00C47C03" w:rsidRDefault="00E93014" w:rsidP="00F2295B">
      <w:pPr>
        <w:pStyle w:val="ListParagraph"/>
        <w:numPr>
          <w:ilvl w:val="0"/>
          <w:numId w:val="3"/>
        </w:num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Withholding tax in case you are a supplier of goods.</w:t>
      </w:r>
    </w:p>
    <w:p w14:paraId="3A0EAC2C" w14:textId="2A323420" w:rsidR="00E93014" w:rsidRPr="00C47C03" w:rsidRDefault="00E93014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 xml:space="preserve">Note </w:t>
      </w:r>
      <w:r w:rsidRPr="00C47C03">
        <w:rPr>
          <w:rFonts w:ascii="Bookman Old Style" w:hAnsi="Bookman Old Style" w:cs="Segoe UI"/>
          <w:color w:val="000000" w:themeColor="text1"/>
        </w:rPr>
        <w:t>that you’re required to file the normal tax returns for each of the tax heads above</w:t>
      </w:r>
    </w:p>
    <w:p w14:paraId="63066D24" w14:textId="33E8E3E0" w:rsidR="00A47176" w:rsidRPr="00C47C03" w:rsidRDefault="00A47176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>Am I supposed to register for EFRIS?</w:t>
      </w:r>
    </w:p>
    <w:p w14:paraId="087AEA16" w14:textId="78BC25AF" w:rsidR="00A47176" w:rsidRPr="00C47C03" w:rsidRDefault="00A47176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Yes. You must register for EFRIS if you operate a business in this category.</w:t>
      </w:r>
    </w:p>
    <w:p w14:paraId="3F977FCF" w14:textId="64FEB231" w:rsidR="00A47176" w:rsidRPr="00C47C03" w:rsidRDefault="00A47176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70C0"/>
          <w:u w:val="single"/>
        </w:rPr>
        <w:t>Click here</w:t>
      </w:r>
      <w:r w:rsidRPr="00C47C03">
        <w:rPr>
          <w:rFonts w:ascii="Bookman Old Style" w:hAnsi="Bookman Old Style" w:cs="Segoe UI"/>
          <w:color w:val="0070C0"/>
        </w:rPr>
        <w:t xml:space="preserve"> </w:t>
      </w:r>
      <w:r w:rsidRPr="00C47C03">
        <w:rPr>
          <w:rFonts w:ascii="Bookman Old Style" w:hAnsi="Bookman Old Style" w:cs="Segoe UI"/>
          <w:color w:val="000000" w:themeColor="text1"/>
        </w:rPr>
        <w:t>for information on how to register for EFRIS</w:t>
      </w:r>
    </w:p>
    <w:p w14:paraId="1A06F950" w14:textId="13B709D0" w:rsidR="00A47176" w:rsidRPr="00C47C03" w:rsidRDefault="00A47176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>How do I file returns for my business?</w:t>
      </w:r>
    </w:p>
    <w:p w14:paraId="70003019" w14:textId="6BBF6B51" w:rsidR="00A47176" w:rsidRPr="00C47C03" w:rsidRDefault="00A47176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You are required to file returns if you operate a business in this category</w:t>
      </w:r>
    </w:p>
    <w:p w14:paraId="298505C7" w14:textId="61498356" w:rsidR="00A47176" w:rsidRPr="00C47C03" w:rsidRDefault="00A47176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70C0"/>
          <w:u w:val="single"/>
        </w:rPr>
        <w:t>Click here</w:t>
      </w:r>
      <w:r w:rsidRPr="00C47C03">
        <w:rPr>
          <w:rFonts w:ascii="Bookman Old Style" w:hAnsi="Bookman Old Style" w:cs="Segoe UI"/>
          <w:color w:val="0070C0"/>
        </w:rPr>
        <w:t xml:space="preserve"> </w:t>
      </w:r>
      <w:r w:rsidRPr="00C47C03">
        <w:rPr>
          <w:rFonts w:ascii="Bookman Old Style" w:hAnsi="Bookman Old Style" w:cs="Segoe UI"/>
          <w:color w:val="000000" w:themeColor="text1"/>
        </w:rPr>
        <w:t>for information on how to file your returns.</w:t>
      </w:r>
    </w:p>
    <w:p w14:paraId="5C405C8C" w14:textId="77777777" w:rsidR="00B13A5E" w:rsidRPr="00C47C03" w:rsidRDefault="00B13A5E" w:rsidP="00AC1874">
      <w:pPr>
        <w:jc w:val="both"/>
        <w:rPr>
          <w:rFonts w:ascii="Bookman Old Style" w:hAnsi="Bookman Old Style" w:cs="Segoe UI"/>
          <w:color w:val="000000" w:themeColor="text1"/>
        </w:rPr>
      </w:pPr>
    </w:p>
    <w:p w14:paraId="0CD4B243" w14:textId="08A3B45E" w:rsidR="00F2295B" w:rsidRPr="00C47C03" w:rsidRDefault="00F2295B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lastRenderedPageBreak/>
        <w:t>How do I pay taxes to URA?</w:t>
      </w:r>
    </w:p>
    <w:p w14:paraId="10D4578E" w14:textId="348A3EC9" w:rsidR="00F2295B" w:rsidRPr="00C47C03" w:rsidRDefault="00F2295B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After filing a return, you’re required to pay taxes due using available payment platforms e.g. banks, mobile money,</w:t>
      </w:r>
      <w:r w:rsidR="00C47C03" w:rsidRPr="00C47C03">
        <w:rPr>
          <w:rFonts w:ascii="Bookman Old Style" w:hAnsi="Bookman Old Style" w:cs="Segoe UI"/>
          <w:color w:val="000000" w:themeColor="text1"/>
        </w:rPr>
        <w:t xml:space="preserve"> </w:t>
      </w:r>
      <w:r w:rsidRPr="00C47C03">
        <w:rPr>
          <w:rFonts w:ascii="Bookman Old Style" w:hAnsi="Bookman Old Style" w:cs="Segoe UI"/>
          <w:color w:val="000000" w:themeColor="text1"/>
        </w:rPr>
        <w:t>VISA, Mastercard etc.</w:t>
      </w:r>
    </w:p>
    <w:p w14:paraId="2CF2AC9F" w14:textId="143316D2" w:rsidR="00F2295B" w:rsidRDefault="00F2295B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70C0"/>
          <w:u w:val="single"/>
        </w:rPr>
        <w:t>Click here</w:t>
      </w:r>
      <w:r w:rsidRPr="00C47C03">
        <w:rPr>
          <w:rFonts w:ascii="Bookman Old Style" w:hAnsi="Bookman Old Style" w:cs="Segoe UI"/>
          <w:color w:val="0070C0"/>
        </w:rPr>
        <w:t xml:space="preserve"> </w:t>
      </w:r>
      <w:r w:rsidRPr="00C47C03">
        <w:rPr>
          <w:rFonts w:ascii="Bookman Old Style" w:hAnsi="Bookman Old Style" w:cs="Segoe UI"/>
          <w:color w:val="000000" w:themeColor="text1"/>
        </w:rPr>
        <w:t xml:space="preserve">to </w:t>
      </w:r>
      <w:r w:rsidR="005D7711" w:rsidRPr="00C47C03">
        <w:rPr>
          <w:rFonts w:ascii="Bookman Old Style" w:hAnsi="Bookman Old Style" w:cs="Segoe UI"/>
          <w:color w:val="000000" w:themeColor="text1"/>
        </w:rPr>
        <w:t>register</w:t>
      </w:r>
      <w:r w:rsidRPr="00C47C03">
        <w:rPr>
          <w:rFonts w:ascii="Bookman Old Style" w:hAnsi="Bookman Old Style" w:cs="Segoe UI"/>
          <w:color w:val="000000" w:themeColor="text1"/>
        </w:rPr>
        <w:t xml:space="preserve"> a payment</w:t>
      </w:r>
    </w:p>
    <w:p w14:paraId="06FF4199" w14:textId="23B3D4D8" w:rsidR="00F31F8E" w:rsidRDefault="00F31F8E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F31F8E">
        <w:rPr>
          <w:rFonts w:ascii="Bookman Old Style" w:hAnsi="Bookman Old Style" w:cs="Segoe UI"/>
          <w:b/>
          <w:color w:val="000000" w:themeColor="text1"/>
        </w:rPr>
        <w:t>Do I qualify for a refund?</w:t>
      </w:r>
    </w:p>
    <w:p w14:paraId="44F91CB0" w14:textId="78A4AD62" w:rsidR="00F31F8E" w:rsidRDefault="00F31F8E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F31F8E">
        <w:rPr>
          <w:rFonts w:ascii="Bookman Old Style" w:hAnsi="Bookman Old Style" w:cs="Segoe UI"/>
          <w:color w:val="000000" w:themeColor="text1"/>
        </w:rPr>
        <w:t>Yes. You qualify for a refund if you meet the tax refund criteria</w:t>
      </w:r>
      <w:r>
        <w:rPr>
          <w:rFonts w:ascii="Bookman Old Style" w:hAnsi="Bookman Old Style" w:cs="Segoe UI"/>
          <w:color w:val="000000" w:themeColor="text1"/>
        </w:rPr>
        <w:t>.</w:t>
      </w:r>
    </w:p>
    <w:p w14:paraId="609C8C19" w14:textId="44B3B609" w:rsidR="00F31F8E" w:rsidRDefault="00F31F8E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F31F8E">
        <w:rPr>
          <w:rFonts w:ascii="Bookman Old Style" w:hAnsi="Bookman Old Style" w:cs="Segoe UI"/>
          <w:b/>
          <w:color w:val="000000" w:themeColor="text1"/>
        </w:rPr>
        <w:t>When do I qualify for a refund?</w:t>
      </w:r>
    </w:p>
    <w:p w14:paraId="3D5B5887" w14:textId="73516A0D" w:rsidR="00F31F8E" w:rsidRDefault="00F31F8E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F31F8E">
        <w:rPr>
          <w:rFonts w:ascii="Bookman Old Style" w:hAnsi="Bookman Old Style" w:cs="Segoe UI"/>
          <w:color w:val="000000" w:themeColor="text1"/>
        </w:rPr>
        <w:t xml:space="preserve">You qualify for a refund if your input VAT (VAT on </w:t>
      </w:r>
      <w:proofErr w:type="spellStart"/>
      <w:r w:rsidRPr="00F31F8E">
        <w:rPr>
          <w:rFonts w:ascii="Bookman Old Style" w:hAnsi="Bookman Old Style" w:cs="Segoe UI"/>
          <w:color w:val="000000" w:themeColor="text1"/>
        </w:rPr>
        <w:t>puchases</w:t>
      </w:r>
      <w:proofErr w:type="spellEnd"/>
      <w:r w:rsidRPr="00F31F8E">
        <w:rPr>
          <w:rFonts w:ascii="Bookman Old Style" w:hAnsi="Bookman Old Style" w:cs="Segoe UI"/>
          <w:color w:val="000000" w:themeColor="text1"/>
        </w:rPr>
        <w:t>) exceeds your output VAT (VAT on sales)</w:t>
      </w:r>
    </w:p>
    <w:p w14:paraId="155E5BD4" w14:textId="2F94209B" w:rsidR="00F31F8E" w:rsidRDefault="00F31F8E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F31F8E">
        <w:rPr>
          <w:rFonts w:ascii="Bookman Old Style" w:hAnsi="Bookman Old Style" w:cs="Segoe UI"/>
          <w:b/>
          <w:color w:val="000000" w:themeColor="text1"/>
        </w:rPr>
        <w:t>How do I apply for refunds?</w:t>
      </w:r>
    </w:p>
    <w:p w14:paraId="60B3AC0E" w14:textId="06EEFEBD" w:rsidR="00F31F8E" w:rsidRPr="00F31F8E" w:rsidRDefault="00F31F8E" w:rsidP="00AC1874">
      <w:pPr>
        <w:jc w:val="both"/>
        <w:rPr>
          <w:rFonts w:ascii="Bookman Old Style" w:hAnsi="Bookman Old Style" w:cs="Segoe UI"/>
          <w:color w:val="000000" w:themeColor="text1"/>
        </w:rPr>
      </w:pPr>
      <w:bookmarkStart w:id="0" w:name="_GoBack"/>
      <w:r w:rsidRPr="00F31F8E">
        <w:rPr>
          <w:rFonts w:ascii="Bookman Old Style" w:hAnsi="Bookman Old Style" w:cs="Segoe UI"/>
          <w:color w:val="00B0F0"/>
          <w:u w:val="single"/>
        </w:rPr>
        <w:t>Click here</w:t>
      </w:r>
      <w:r w:rsidRPr="00F31F8E">
        <w:rPr>
          <w:rFonts w:ascii="Bookman Old Style" w:hAnsi="Bookman Old Style" w:cs="Segoe UI"/>
          <w:color w:val="00B0F0"/>
        </w:rPr>
        <w:t xml:space="preserve"> </w:t>
      </w:r>
      <w:r w:rsidRPr="00F31F8E">
        <w:rPr>
          <w:rFonts w:ascii="Bookman Old Style" w:hAnsi="Bookman Old Style" w:cs="Segoe UI"/>
          <w:color w:val="000000" w:themeColor="text1"/>
        </w:rPr>
        <w:t>for information on how to apply for refund</w:t>
      </w:r>
    </w:p>
    <w:bookmarkEnd w:id="0"/>
    <w:p w14:paraId="1429D003" w14:textId="1557FE53" w:rsidR="00B13A5E" w:rsidRPr="00C47C03" w:rsidRDefault="00B13A5E" w:rsidP="00AC1874">
      <w:pPr>
        <w:jc w:val="both"/>
        <w:rPr>
          <w:rFonts w:ascii="Bookman Old Style" w:hAnsi="Bookman Old Style" w:cs="Segoe UI"/>
          <w:b/>
          <w:color w:val="000000" w:themeColor="text1"/>
        </w:rPr>
      </w:pPr>
      <w:r w:rsidRPr="00C47C03">
        <w:rPr>
          <w:rFonts w:ascii="Bookman Old Style" w:hAnsi="Bookman Old Style" w:cs="Segoe UI"/>
          <w:b/>
          <w:color w:val="000000" w:themeColor="text1"/>
        </w:rPr>
        <w:t xml:space="preserve">Am I entitled to any </w:t>
      </w:r>
      <w:r w:rsidR="00C47C03" w:rsidRPr="00C47C03">
        <w:rPr>
          <w:rFonts w:ascii="Bookman Old Style" w:hAnsi="Bookman Old Style" w:cs="Segoe UI"/>
          <w:b/>
          <w:color w:val="000000" w:themeColor="text1"/>
        </w:rPr>
        <w:t xml:space="preserve">tax </w:t>
      </w:r>
      <w:r w:rsidRPr="00C47C03">
        <w:rPr>
          <w:rFonts w:ascii="Bookman Old Style" w:hAnsi="Bookman Old Style" w:cs="Segoe UI"/>
          <w:b/>
          <w:color w:val="000000" w:themeColor="text1"/>
        </w:rPr>
        <w:t>incentives?</w:t>
      </w:r>
    </w:p>
    <w:p w14:paraId="1095C035" w14:textId="50B8C556" w:rsidR="00B13A5E" w:rsidRPr="00C47C03" w:rsidRDefault="00B13A5E" w:rsidP="00AC1874">
      <w:pPr>
        <w:jc w:val="both"/>
        <w:rPr>
          <w:rFonts w:ascii="Bookman Old Style" w:hAnsi="Bookman Old Style" w:cs="Segoe UI"/>
          <w:color w:val="000000" w:themeColor="text1"/>
        </w:rPr>
      </w:pPr>
      <w:r w:rsidRPr="00C47C03">
        <w:rPr>
          <w:rFonts w:ascii="Bookman Old Style" w:hAnsi="Bookman Old Style" w:cs="Segoe UI"/>
          <w:color w:val="000000" w:themeColor="text1"/>
        </w:rPr>
        <w:t>Yes. There are incentives available for you which include:</w:t>
      </w:r>
    </w:p>
    <w:p w14:paraId="21EF1C37" w14:textId="1B0FD325" w:rsidR="00C47C03" w:rsidRPr="00C47C03" w:rsidRDefault="003B6AAE" w:rsidP="00C47C03">
      <w:pPr>
        <w:jc w:val="both"/>
        <w:rPr>
          <w:rFonts w:ascii="Bookman Old Style" w:hAnsi="Bookman Old Style"/>
          <w:b/>
        </w:rPr>
      </w:pPr>
      <w:r w:rsidRPr="00C47C03">
        <w:rPr>
          <w:rFonts w:ascii="Bookman Old Style" w:hAnsi="Bookman Old Style"/>
          <w:b/>
        </w:rPr>
        <w:t xml:space="preserve">Tax incentives under </w:t>
      </w:r>
      <w:r>
        <w:rPr>
          <w:rFonts w:ascii="Bookman Old Style" w:hAnsi="Bookman Old Style"/>
          <w:b/>
        </w:rPr>
        <w:t>D</w:t>
      </w:r>
      <w:r w:rsidRPr="00C47C03">
        <w:rPr>
          <w:rFonts w:ascii="Bookman Old Style" w:hAnsi="Bookman Old Style"/>
          <w:b/>
        </w:rPr>
        <w:t xml:space="preserve">omestic </w:t>
      </w:r>
      <w:r>
        <w:rPr>
          <w:rFonts w:ascii="Bookman Old Style" w:hAnsi="Bookman Old Style"/>
          <w:b/>
        </w:rPr>
        <w:t>T</w:t>
      </w:r>
      <w:r w:rsidRPr="00C47C03">
        <w:rPr>
          <w:rFonts w:ascii="Bookman Old Style" w:hAnsi="Bookman Old Style"/>
          <w:b/>
        </w:rPr>
        <w:t>axes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254"/>
        <w:gridCol w:w="2253"/>
        <w:gridCol w:w="1303"/>
        <w:gridCol w:w="3966"/>
      </w:tblGrid>
      <w:tr w:rsidR="00C47C03" w:rsidRPr="00C47C03" w14:paraId="22D6CA67" w14:textId="77777777" w:rsidTr="00C47C0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3E59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INCOME TAX</w:t>
            </w:r>
          </w:p>
        </w:tc>
      </w:tr>
      <w:tr w:rsidR="00C47C03" w:rsidRPr="00C47C03" w14:paraId="2C4E53D9" w14:textId="77777777" w:rsidTr="003B6AAE">
        <w:tc>
          <w:tcPr>
            <w:tcW w:w="2254" w:type="dxa"/>
            <w:tcBorders>
              <w:top w:val="single" w:sz="4" w:space="0" w:color="auto"/>
            </w:tcBorders>
          </w:tcPr>
          <w:p w14:paraId="251FA4D1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Beneficiary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4A029FC5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Incentives</w:t>
            </w:r>
          </w:p>
        </w:tc>
        <w:tc>
          <w:tcPr>
            <w:tcW w:w="1303" w:type="dxa"/>
            <w:tcBorders>
              <w:top w:val="single" w:sz="4" w:space="0" w:color="auto"/>
            </w:tcBorders>
          </w:tcPr>
          <w:p w14:paraId="61B82B18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Period of Incentive</w:t>
            </w:r>
          </w:p>
        </w:tc>
        <w:tc>
          <w:tcPr>
            <w:tcW w:w="3966" w:type="dxa"/>
            <w:tcBorders>
              <w:top w:val="single" w:sz="4" w:space="0" w:color="auto"/>
            </w:tcBorders>
          </w:tcPr>
          <w:p w14:paraId="715A3273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Conditions for the Tax Incentive</w:t>
            </w:r>
          </w:p>
        </w:tc>
      </w:tr>
      <w:tr w:rsidR="00C47C03" w:rsidRPr="00C47C03" w14:paraId="017E556A" w14:textId="77777777" w:rsidTr="003B6AAE">
        <w:tc>
          <w:tcPr>
            <w:tcW w:w="2254" w:type="dxa"/>
          </w:tcPr>
          <w:p w14:paraId="1A477BDC" w14:textId="43750053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Private employers of persons with disabilities (PWDs)</w:t>
            </w:r>
          </w:p>
        </w:tc>
        <w:tc>
          <w:tcPr>
            <w:tcW w:w="2253" w:type="dxa"/>
          </w:tcPr>
          <w:p w14:paraId="436757ED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Deduction of 2% Income tax for employers that employ PWDs</w:t>
            </w:r>
          </w:p>
        </w:tc>
        <w:tc>
          <w:tcPr>
            <w:tcW w:w="1303" w:type="dxa"/>
          </w:tcPr>
          <w:p w14:paraId="6EA507FF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966" w:type="dxa"/>
          </w:tcPr>
          <w:p w14:paraId="4C30A6DD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5% of employees must be PWDs</w:t>
            </w:r>
          </w:p>
        </w:tc>
      </w:tr>
      <w:tr w:rsidR="00C47C03" w:rsidRPr="00C47C03" w14:paraId="7247B472" w14:textId="77777777" w:rsidTr="003B6AAE">
        <w:tc>
          <w:tcPr>
            <w:tcW w:w="2254" w:type="dxa"/>
          </w:tcPr>
          <w:p w14:paraId="65E6EFE7" w14:textId="04F95425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Compliant taxpayers</w:t>
            </w:r>
          </w:p>
        </w:tc>
        <w:tc>
          <w:tcPr>
            <w:tcW w:w="2253" w:type="dxa"/>
          </w:tcPr>
          <w:p w14:paraId="678E51CC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6% WHT exemption on payment for goods and services and professional fees</w:t>
            </w:r>
          </w:p>
        </w:tc>
        <w:tc>
          <w:tcPr>
            <w:tcW w:w="1303" w:type="dxa"/>
          </w:tcPr>
          <w:p w14:paraId="59E4F9FE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12 months renewable</w:t>
            </w:r>
          </w:p>
        </w:tc>
        <w:tc>
          <w:tcPr>
            <w:tcW w:w="3966" w:type="dxa"/>
          </w:tcPr>
          <w:p w14:paraId="40575AEB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Where the Commissioner is satisfied that the taxpayer has regularly complied with the obligations under the tax laws</w:t>
            </w:r>
          </w:p>
        </w:tc>
      </w:tr>
      <w:tr w:rsidR="00C47C03" w:rsidRPr="00C47C03" w14:paraId="4A4805B9" w14:textId="77777777" w:rsidTr="003B6AAE">
        <w:tc>
          <w:tcPr>
            <w:tcW w:w="2254" w:type="dxa"/>
          </w:tcPr>
          <w:p w14:paraId="6627F175" w14:textId="58337EE4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All taxpayers</w:t>
            </w:r>
          </w:p>
        </w:tc>
        <w:tc>
          <w:tcPr>
            <w:tcW w:w="2253" w:type="dxa"/>
          </w:tcPr>
          <w:p w14:paraId="25670BE4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100% deduction of training expenditure</w:t>
            </w:r>
          </w:p>
        </w:tc>
        <w:tc>
          <w:tcPr>
            <w:tcW w:w="1303" w:type="dxa"/>
          </w:tcPr>
          <w:p w14:paraId="7D40035D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966" w:type="dxa"/>
          </w:tcPr>
          <w:p w14:paraId="1BCE0950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Employers who train permanent residents or provide tertiary education not exceeding in the aggregate 5 years</w:t>
            </w:r>
          </w:p>
        </w:tc>
      </w:tr>
      <w:tr w:rsidR="00C47C03" w:rsidRPr="00C47C03" w14:paraId="7E60118D" w14:textId="77777777" w:rsidTr="003B6AAE">
        <w:tc>
          <w:tcPr>
            <w:tcW w:w="2254" w:type="dxa"/>
          </w:tcPr>
          <w:p w14:paraId="481064DF" w14:textId="1A073C8C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All taxpayers</w:t>
            </w:r>
          </w:p>
        </w:tc>
        <w:tc>
          <w:tcPr>
            <w:tcW w:w="2253" w:type="dxa"/>
          </w:tcPr>
          <w:p w14:paraId="37FA909C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 xml:space="preserve">Initial allowance and Depreciation allowance: Initial Allowance – capital deduction of 50% of qualifying Plant &amp; machinery and 20% on Industrial building placed in the radius of 50Km outside the boundaries of Kampala. Person who places </w:t>
            </w:r>
            <w:r w:rsidRPr="00C47C03">
              <w:rPr>
                <w:rFonts w:ascii="Bookman Old Style" w:hAnsi="Bookman Old Style"/>
              </w:rPr>
              <w:lastRenderedPageBreak/>
              <w:t xml:space="preserve">depreciable assets in service e.g. computers, automobiles, specialized trucks, tractors, plant and machinery used in farming, manufacturing or mining operations, trailers </w:t>
            </w:r>
            <w:proofErr w:type="spellStart"/>
            <w:r w:rsidRPr="00C47C03">
              <w:rPr>
                <w:rFonts w:ascii="Bookman Old Style" w:hAnsi="Bookman Old Style"/>
              </w:rPr>
              <w:t>andtrailer</w:t>
            </w:r>
            <w:proofErr w:type="spellEnd"/>
            <w:r w:rsidRPr="00C47C03">
              <w:rPr>
                <w:rFonts w:ascii="Bookman Old Style" w:hAnsi="Bookman Old Style"/>
              </w:rPr>
              <w:t xml:space="preserve"> mounted containers; and Industrial building deduction of 5% on cost of construction straight line method for 20 years.</w:t>
            </w:r>
          </w:p>
        </w:tc>
        <w:tc>
          <w:tcPr>
            <w:tcW w:w="1303" w:type="dxa"/>
          </w:tcPr>
          <w:p w14:paraId="228A8318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lastRenderedPageBreak/>
              <w:t>Indefinite</w:t>
            </w:r>
          </w:p>
        </w:tc>
        <w:tc>
          <w:tcPr>
            <w:tcW w:w="3966" w:type="dxa"/>
          </w:tcPr>
          <w:p w14:paraId="36D40211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All taxpayers with depreciable assets</w:t>
            </w:r>
          </w:p>
        </w:tc>
      </w:tr>
      <w:tr w:rsidR="00C47C03" w:rsidRPr="00C47C03" w14:paraId="28C8680B" w14:textId="77777777" w:rsidTr="003B6AAE">
        <w:tc>
          <w:tcPr>
            <w:tcW w:w="2254" w:type="dxa"/>
          </w:tcPr>
          <w:p w14:paraId="468E4416" w14:textId="226EDE22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All taxpayers</w:t>
            </w:r>
          </w:p>
        </w:tc>
        <w:tc>
          <w:tcPr>
            <w:tcW w:w="2253" w:type="dxa"/>
          </w:tcPr>
          <w:p w14:paraId="5AD6CF31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Carry forward losses: Assessed loss is carried forward as a deduction in the following year of income.</w:t>
            </w:r>
          </w:p>
        </w:tc>
        <w:tc>
          <w:tcPr>
            <w:tcW w:w="1303" w:type="dxa"/>
          </w:tcPr>
          <w:p w14:paraId="7DD76469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Duration of the loss</w:t>
            </w:r>
          </w:p>
        </w:tc>
        <w:tc>
          <w:tcPr>
            <w:tcW w:w="3966" w:type="dxa"/>
          </w:tcPr>
          <w:p w14:paraId="4B3419A3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All taxpayers</w:t>
            </w:r>
          </w:p>
        </w:tc>
      </w:tr>
    </w:tbl>
    <w:p w14:paraId="5DBB1E23" w14:textId="77777777" w:rsidR="00C47C03" w:rsidRPr="00C47C03" w:rsidRDefault="00C47C03" w:rsidP="003B6AAE">
      <w:pPr>
        <w:rPr>
          <w:rFonts w:ascii="Bookman Old Style" w:hAnsi="Bookman Old Style"/>
          <w:b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3014"/>
      </w:tblGrid>
      <w:tr w:rsidR="00C47C03" w:rsidRPr="00C47C03" w14:paraId="3FD3D991" w14:textId="77777777" w:rsidTr="00496EEA">
        <w:tc>
          <w:tcPr>
            <w:tcW w:w="9776" w:type="dxa"/>
            <w:gridSpan w:val="4"/>
          </w:tcPr>
          <w:p w14:paraId="6E8001D9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VAT ACT</w:t>
            </w:r>
          </w:p>
        </w:tc>
      </w:tr>
      <w:tr w:rsidR="00C47C03" w:rsidRPr="00C47C03" w14:paraId="11BEF9A6" w14:textId="77777777" w:rsidTr="00496EEA">
        <w:tc>
          <w:tcPr>
            <w:tcW w:w="2254" w:type="dxa"/>
          </w:tcPr>
          <w:p w14:paraId="3D4E73B5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Beneficiary</w:t>
            </w:r>
          </w:p>
        </w:tc>
        <w:tc>
          <w:tcPr>
            <w:tcW w:w="2254" w:type="dxa"/>
          </w:tcPr>
          <w:p w14:paraId="05B9AD0A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Incentives</w:t>
            </w:r>
          </w:p>
        </w:tc>
        <w:tc>
          <w:tcPr>
            <w:tcW w:w="2254" w:type="dxa"/>
          </w:tcPr>
          <w:p w14:paraId="3F301AA5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Period of Incentive</w:t>
            </w:r>
          </w:p>
        </w:tc>
        <w:tc>
          <w:tcPr>
            <w:tcW w:w="3014" w:type="dxa"/>
          </w:tcPr>
          <w:p w14:paraId="337B06C1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Conditions for the Tax incentive</w:t>
            </w:r>
          </w:p>
        </w:tc>
      </w:tr>
      <w:tr w:rsidR="00C47C03" w:rsidRPr="00C47C03" w14:paraId="487EDAC9" w14:textId="77777777" w:rsidTr="00496EEA">
        <w:tc>
          <w:tcPr>
            <w:tcW w:w="2254" w:type="dxa"/>
          </w:tcPr>
          <w:p w14:paraId="667C1F7B" w14:textId="02B86ECF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VAT Registered taxpayers</w:t>
            </w:r>
          </w:p>
        </w:tc>
        <w:tc>
          <w:tcPr>
            <w:tcW w:w="2254" w:type="dxa"/>
          </w:tcPr>
          <w:p w14:paraId="42D0AB24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VAT registered persons claim all the VAT incurred.</w:t>
            </w:r>
          </w:p>
        </w:tc>
        <w:tc>
          <w:tcPr>
            <w:tcW w:w="2254" w:type="dxa"/>
          </w:tcPr>
          <w:p w14:paraId="5A426EC6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41A094F2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Turnover of UGX 150m in any 12-month period for first time registration, ability to keep proper books of accounts and making taxable supplies.</w:t>
            </w:r>
          </w:p>
        </w:tc>
      </w:tr>
      <w:tr w:rsidR="00C47C03" w:rsidRPr="00C47C03" w14:paraId="4DA46262" w14:textId="77777777" w:rsidTr="00496EEA">
        <w:tc>
          <w:tcPr>
            <w:tcW w:w="2254" w:type="dxa"/>
          </w:tcPr>
          <w:p w14:paraId="459C26D0" w14:textId="6CBFD8AA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Contractors executing aid</w:t>
            </w:r>
            <w:r w:rsidR="003B6AAE">
              <w:rPr>
                <w:rFonts w:ascii="Bookman Old Style" w:hAnsi="Bookman Old Style"/>
              </w:rPr>
              <w:t xml:space="preserve"> </w:t>
            </w:r>
            <w:r w:rsidRPr="00C47C03">
              <w:rPr>
                <w:rFonts w:ascii="Bookman Old Style" w:hAnsi="Bookman Old Style"/>
              </w:rPr>
              <w:t>funded projects</w:t>
            </w:r>
          </w:p>
        </w:tc>
        <w:tc>
          <w:tcPr>
            <w:tcW w:w="2254" w:type="dxa"/>
          </w:tcPr>
          <w:p w14:paraId="1289D295" w14:textId="4A97D5AE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Deemed VAT: Tax payable on a taxable supply made by a supplier to a contractor executing an aid</w:t>
            </w:r>
            <w:r w:rsidR="003B6AAE">
              <w:rPr>
                <w:rFonts w:ascii="Bookman Old Style" w:hAnsi="Bookman Old Style"/>
              </w:rPr>
              <w:t xml:space="preserve"> </w:t>
            </w:r>
            <w:r w:rsidRPr="00C47C03">
              <w:rPr>
                <w:rFonts w:ascii="Bookman Old Style" w:hAnsi="Bookman Old Style"/>
              </w:rPr>
              <w:t xml:space="preserve">funded project is deemed to have been paid by the contractor provided the supply is for use by the contractor solely and </w:t>
            </w:r>
            <w:r w:rsidRPr="00C47C03">
              <w:rPr>
                <w:rFonts w:ascii="Bookman Old Style" w:hAnsi="Bookman Old Style"/>
              </w:rPr>
              <w:lastRenderedPageBreak/>
              <w:t>exclusively for the aid funded project.</w:t>
            </w:r>
          </w:p>
        </w:tc>
        <w:tc>
          <w:tcPr>
            <w:tcW w:w="2254" w:type="dxa"/>
          </w:tcPr>
          <w:p w14:paraId="4C604983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lastRenderedPageBreak/>
              <w:t>Duration of the project</w:t>
            </w:r>
          </w:p>
        </w:tc>
        <w:tc>
          <w:tcPr>
            <w:tcW w:w="3014" w:type="dxa"/>
          </w:tcPr>
          <w:p w14:paraId="24F106F3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Contractors executing aid- funded projects</w:t>
            </w:r>
          </w:p>
        </w:tc>
      </w:tr>
      <w:tr w:rsidR="00C47C03" w:rsidRPr="00C47C03" w14:paraId="4CEE802B" w14:textId="77777777" w:rsidTr="00496EEA">
        <w:tc>
          <w:tcPr>
            <w:tcW w:w="2254" w:type="dxa"/>
          </w:tcPr>
          <w:p w14:paraId="365F15BB" w14:textId="311128E0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Exporters</w:t>
            </w:r>
          </w:p>
        </w:tc>
        <w:tc>
          <w:tcPr>
            <w:tcW w:w="2254" w:type="dxa"/>
          </w:tcPr>
          <w:p w14:paraId="78D16F63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Zero rating</w:t>
            </w:r>
          </w:p>
        </w:tc>
        <w:tc>
          <w:tcPr>
            <w:tcW w:w="2254" w:type="dxa"/>
          </w:tcPr>
          <w:p w14:paraId="15AB1B9C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604EDFD9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All exporters</w:t>
            </w:r>
          </w:p>
        </w:tc>
      </w:tr>
      <w:tr w:rsidR="00C47C03" w:rsidRPr="00C47C03" w14:paraId="4F431029" w14:textId="77777777" w:rsidTr="00496EEA">
        <w:tc>
          <w:tcPr>
            <w:tcW w:w="2254" w:type="dxa"/>
          </w:tcPr>
          <w:p w14:paraId="74B7C085" w14:textId="7A59DB89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Suppliers to government</w:t>
            </w:r>
          </w:p>
        </w:tc>
        <w:tc>
          <w:tcPr>
            <w:tcW w:w="2254" w:type="dxa"/>
          </w:tcPr>
          <w:p w14:paraId="4861926C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Cash basis accounting for VAT on supplies made to government</w:t>
            </w:r>
          </w:p>
        </w:tc>
        <w:tc>
          <w:tcPr>
            <w:tcW w:w="2254" w:type="dxa"/>
          </w:tcPr>
          <w:p w14:paraId="623B067C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0D74A74E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VAT registered suppliers</w:t>
            </w:r>
          </w:p>
        </w:tc>
      </w:tr>
      <w:tr w:rsidR="00C47C03" w:rsidRPr="00C47C03" w14:paraId="75E7DFB2" w14:textId="77777777" w:rsidTr="00496EEA">
        <w:tc>
          <w:tcPr>
            <w:tcW w:w="2254" w:type="dxa"/>
          </w:tcPr>
          <w:p w14:paraId="5ACFD0E8" w14:textId="7819B35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Suppliers of oxygen for medical use</w:t>
            </w:r>
          </w:p>
        </w:tc>
        <w:tc>
          <w:tcPr>
            <w:tcW w:w="2254" w:type="dxa"/>
          </w:tcPr>
          <w:p w14:paraId="718E3037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Exempting the supply of oxygen</w:t>
            </w:r>
          </w:p>
        </w:tc>
        <w:tc>
          <w:tcPr>
            <w:tcW w:w="2254" w:type="dxa"/>
          </w:tcPr>
          <w:p w14:paraId="76DCA94F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0A583B4E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Oxygen for medical use</w:t>
            </w:r>
          </w:p>
        </w:tc>
      </w:tr>
      <w:tr w:rsidR="00C47C03" w:rsidRPr="00C47C03" w14:paraId="087E33B3" w14:textId="77777777" w:rsidTr="00496EEA">
        <w:tc>
          <w:tcPr>
            <w:tcW w:w="2254" w:type="dxa"/>
          </w:tcPr>
          <w:p w14:paraId="5B7DB0FD" w14:textId="1FFE8CF8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Suppliers of assistive devices for persons with disability</w:t>
            </w:r>
          </w:p>
        </w:tc>
        <w:tc>
          <w:tcPr>
            <w:tcW w:w="2254" w:type="dxa"/>
          </w:tcPr>
          <w:p w14:paraId="7FFBC787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Exempting the supply of assistive devices for persons with disability.</w:t>
            </w:r>
          </w:p>
        </w:tc>
        <w:tc>
          <w:tcPr>
            <w:tcW w:w="2254" w:type="dxa"/>
          </w:tcPr>
          <w:p w14:paraId="79227C47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3B06A1E9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Assistive devices must be for use by persons with disability</w:t>
            </w:r>
          </w:p>
        </w:tc>
      </w:tr>
      <w:tr w:rsidR="00C47C03" w:rsidRPr="00C47C03" w14:paraId="5563F7E8" w14:textId="77777777" w:rsidTr="00496EEA">
        <w:tc>
          <w:tcPr>
            <w:tcW w:w="2254" w:type="dxa"/>
          </w:tcPr>
          <w:p w14:paraId="6C921B83" w14:textId="45781452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Suppliers of educational materials</w:t>
            </w:r>
          </w:p>
        </w:tc>
        <w:tc>
          <w:tcPr>
            <w:tcW w:w="2254" w:type="dxa"/>
          </w:tcPr>
          <w:p w14:paraId="3C36675A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Zero rating of supply of educational materials.</w:t>
            </w:r>
          </w:p>
        </w:tc>
        <w:tc>
          <w:tcPr>
            <w:tcW w:w="2254" w:type="dxa"/>
          </w:tcPr>
          <w:p w14:paraId="0E27BDCB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25A8BCE9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Includes educational materials manufactured in Uganda and the partner states of the EAC</w:t>
            </w:r>
          </w:p>
        </w:tc>
      </w:tr>
      <w:tr w:rsidR="00C47C03" w:rsidRPr="00C47C03" w14:paraId="42A2F861" w14:textId="77777777" w:rsidTr="00496EEA">
        <w:tc>
          <w:tcPr>
            <w:tcW w:w="2254" w:type="dxa"/>
          </w:tcPr>
          <w:p w14:paraId="772A6122" w14:textId="4AD250B0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Suppliers and manufacturers of menstrual cups</w:t>
            </w:r>
          </w:p>
        </w:tc>
        <w:tc>
          <w:tcPr>
            <w:tcW w:w="2254" w:type="dxa"/>
          </w:tcPr>
          <w:p w14:paraId="2FDD5E19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Zero rating the supply of menstrual cups and inputs for their manufacture.</w:t>
            </w:r>
          </w:p>
        </w:tc>
        <w:tc>
          <w:tcPr>
            <w:tcW w:w="2254" w:type="dxa"/>
          </w:tcPr>
          <w:p w14:paraId="5A6FAB97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091696C7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Suppliers and manufacturers of menstrual cups</w:t>
            </w:r>
          </w:p>
        </w:tc>
      </w:tr>
    </w:tbl>
    <w:p w14:paraId="011F81E6" w14:textId="77777777" w:rsidR="00C47C03" w:rsidRPr="00C47C03" w:rsidRDefault="00C47C03" w:rsidP="003B6AAE">
      <w:pPr>
        <w:rPr>
          <w:rFonts w:ascii="Bookman Old Style" w:hAnsi="Bookman Old Style"/>
          <w:b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3014"/>
      </w:tblGrid>
      <w:tr w:rsidR="00C47C03" w:rsidRPr="00C47C03" w14:paraId="605D97A0" w14:textId="77777777" w:rsidTr="00496EEA">
        <w:tc>
          <w:tcPr>
            <w:tcW w:w="9776" w:type="dxa"/>
            <w:gridSpan w:val="4"/>
          </w:tcPr>
          <w:p w14:paraId="30C7142C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STAMP DUTY ACT</w:t>
            </w:r>
          </w:p>
        </w:tc>
      </w:tr>
      <w:tr w:rsidR="00C47C03" w:rsidRPr="00C47C03" w14:paraId="51E20181" w14:textId="77777777" w:rsidTr="00496EEA">
        <w:tc>
          <w:tcPr>
            <w:tcW w:w="2254" w:type="dxa"/>
          </w:tcPr>
          <w:p w14:paraId="018ED0F3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Beneficiary</w:t>
            </w:r>
          </w:p>
        </w:tc>
        <w:tc>
          <w:tcPr>
            <w:tcW w:w="2254" w:type="dxa"/>
          </w:tcPr>
          <w:p w14:paraId="5EF2A0CA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Incentives</w:t>
            </w:r>
          </w:p>
        </w:tc>
        <w:tc>
          <w:tcPr>
            <w:tcW w:w="2254" w:type="dxa"/>
          </w:tcPr>
          <w:p w14:paraId="1D0F4D2A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Period of Incentive</w:t>
            </w:r>
          </w:p>
        </w:tc>
        <w:tc>
          <w:tcPr>
            <w:tcW w:w="3014" w:type="dxa"/>
          </w:tcPr>
          <w:p w14:paraId="6F0FF2C9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  <w:b/>
              </w:rPr>
              <w:t>Tax incentive</w:t>
            </w:r>
          </w:p>
        </w:tc>
      </w:tr>
      <w:tr w:rsidR="00C47C03" w:rsidRPr="00C47C03" w14:paraId="46FD6F69" w14:textId="77777777" w:rsidTr="00496EEA">
        <w:tc>
          <w:tcPr>
            <w:tcW w:w="2254" w:type="dxa"/>
          </w:tcPr>
          <w:p w14:paraId="66608EB3" w14:textId="0AE2B5B0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Loan applicants</w:t>
            </w:r>
          </w:p>
        </w:tc>
        <w:tc>
          <w:tcPr>
            <w:tcW w:w="2254" w:type="dxa"/>
          </w:tcPr>
          <w:p w14:paraId="214F44E4" w14:textId="016E51CC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NIL stamp duty on an agreement relating to the deposit of title</w:t>
            </w:r>
            <w:r w:rsidR="00496EEA">
              <w:rPr>
                <w:rFonts w:ascii="Bookman Old Style" w:hAnsi="Bookman Old Style"/>
              </w:rPr>
              <w:t xml:space="preserve"> </w:t>
            </w:r>
            <w:r w:rsidRPr="00C47C03">
              <w:rPr>
                <w:rFonts w:ascii="Bookman Old Style" w:hAnsi="Bookman Old Style"/>
              </w:rPr>
              <w:t>deeds, pawn pledge-of the total value.</w:t>
            </w:r>
          </w:p>
        </w:tc>
        <w:tc>
          <w:tcPr>
            <w:tcW w:w="2254" w:type="dxa"/>
          </w:tcPr>
          <w:p w14:paraId="7912ACD3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5C7D1E3A" w14:textId="0044BB22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Agreement relating to the deposit of title</w:t>
            </w:r>
            <w:r w:rsidR="00496EEA">
              <w:rPr>
                <w:rFonts w:ascii="Bookman Old Style" w:hAnsi="Bookman Old Style"/>
              </w:rPr>
              <w:t xml:space="preserve"> </w:t>
            </w:r>
            <w:r w:rsidRPr="00C47C03">
              <w:rPr>
                <w:rFonts w:ascii="Bookman Old Style" w:hAnsi="Bookman Old Style"/>
              </w:rPr>
              <w:t>deeds, pawn pledge-of the total value.</w:t>
            </w:r>
          </w:p>
        </w:tc>
      </w:tr>
      <w:tr w:rsidR="00C47C03" w:rsidRPr="00C47C03" w14:paraId="74495EA8" w14:textId="77777777" w:rsidTr="00496EEA">
        <w:tc>
          <w:tcPr>
            <w:tcW w:w="2254" w:type="dxa"/>
          </w:tcPr>
          <w:p w14:paraId="03A7EEE8" w14:textId="39D90E2A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Loan applicants</w:t>
            </w:r>
          </w:p>
        </w:tc>
        <w:tc>
          <w:tcPr>
            <w:tcW w:w="2254" w:type="dxa"/>
          </w:tcPr>
          <w:p w14:paraId="5C84F300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NIL stamp duty on security bond or mortgage deed.</w:t>
            </w:r>
          </w:p>
        </w:tc>
        <w:tc>
          <w:tcPr>
            <w:tcW w:w="2254" w:type="dxa"/>
          </w:tcPr>
          <w:p w14:paraId="736B3418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>Indefinite</w:t>
            </w:r>
          </w:p>
        </w:tc>
        <w:tc>
          <w:tcPr>
            <w:tcW w:w="3014" w:type="dxa"/>
          </w:tcPr>
          <w:p w14:paraId="72BA688A" w14:textId="77777777" w:rsidR="00C47C03" w:rsidRPr="00C47C03" w:rsidRDefault="00C47C03" w:rsidP="003B6AAE">
            <w:pPr>
              <w:rPr>
                <w:rFonts w:ascii="Bookman Old Style" w:hAnsi="Bookman Old Style"/>
                <w:b/>
              </w:rPr>
            </w:pPr>
            <w:r w:rsidRPr="00C47C03">
              <w:rPr>
                <w:rFonts w:ascii="Bookman Old Style" w:hAnsi="Bookman Old Style"/>
              </w:rPr>
              <w:t xml:space="preserve">Security bond or mortgage deed executed by way of security for the due execution of an office, or to account for money or other property received </w:t>
            </w:r>
            <w:proofErr w:type="gramStart"/>
            <w:r w:rsidRPr="00C47C03">
              <w:rPr>
                <w:rFonts w:ascii="Bookman Old Style" w:hAnsi="Bookman Old Style"/>
              </w:rPr>
              <w:t>by virtue of</w:t>
            </w:r>
            <w:proofErr w:type="gramEnd"/>
            <w:r w:rsidRPr="00C47C03">
              <w:rPr>
                <w:rFonts w:ascii="Bookman Old Style" w:hAnsi="Bookman Old Style"/>
              </w:rPr>
              <w:t xml:space="preserve"> security bond or mortgage deed executed by a surety to secure a loan or credit facility-of entry value.</w:t>
            </w:r>
          </w:p>
        </w:tc>
      </w:tr>
    </w:tbl>
    <w:p w14:paraId="36FBC941" w14:textId="77777777" w:rsidR="00C47C03" w:rsidRPr="00C47C03" w:rsidRDefault="00C47C03" w:rsidP="00AC1874">
      <w:pPr>
        <w:jc w:val="both"/>
        <w:rPr>
          <w:rFonts w:ascii="Bookman Old Style" w:hAnsi="Bookman Old Style" w:cs="Segoe UI"/>
          <w:color w:val="000000" w:themeColor="text1"/>
        </w:rPr>
      </w:pPr>
    </w:p>
    <w:p w14:paraId="57FC2C6D" w14:textId="1A14F362" w:rsidR="00AC1874" w:rsidRPr="00C47C03" w:rsidRDefault="00C47C03" w:rsidP="00D67553">
      <w:pPr>
        <w:jc w:val="both"/>
        <w:rPr>
          <w:rFonts w:ascii="Bookman Old Style" w:hAnsi="Bookman Old Style" w:cs="Segoe UI"/>
          <w:b/>
          <w:i/>
        </w:rPr>
      </w:pPr>
      <w:r>
        <w:rPr>
          <w:rFonts w:ascii="Bookman Old Style" w:hAnsi="Bookman Old Style" w:cs="Segoe UI"/>
          <w:i/>
        </w:rPr>
        <w:t xml:space="preserve">For more information, please </w:t>
      </w:r>
      <w:r w:rsidR="00AC1874" w:rsidRPr="00C47C03">
        <w:rPr>
          <w:rFonts w:ascii="Bookman Old Style" w:hAnsi="Bookman Old Style" w:cs="Segoe UI"/>
          <w:i/>
        </w:rPr>
        <w:t xml:space="preserve">contact any of our offices for assistance on toll free numbers; </w:t>
      </w:r>
      <w:r w:rsidR="00AC1874" w:rsidRPr="00C47C03">
        <w:rPr>
          <w:rFonts w:ascii="Bookman Old Style" w:hAnsi="Bookman Old Style" w:cs="Segoe UI"/>
          <w:b/>
          <w:i/>
        </w:rPr>
        <w:t>0800117000/0800217000</w:t>
      </w:r>
      <w:r w:rsidR="00AC1874" w:rsidRPr="00C47C03">
        <w:rPr>
          <w:rFonts w:ascii="Bookman Old Style" w:hAnsi="Bookman Old Style" w:cs="Segoe UI"/>
          <w:i/>
        </w:rPr>
        <w:t xml:space="preserve"> or WhatsApp: </w:t>
      </w:r>
      <w:r w:rsidR="00AC1874" w:rsidRPr="00C47C03">
        <w:rPr>
          <w:rFonts w:ascii="Bookman Old Style" w:hAnsi="Bookman Old Style" w:cs="Segoe UI"/>
          <w:b/>
          <w:i/>
        </w:rPr>
        <w:t>0772 140000</w:t>
      </w:r>
    </w:p>
    <w:p w14:paraId="004131CF" w14:textId="77777777" w:rsidR="00AC1874" w:rsidRPr="00C47C03" w:rsidRDefault="00AC1874" w:rsidP="00AC1874">
      <w:pPr>
        <w:rPr>
          <w:rFonts w:ascii="Bookman Old Style" w:hAnsi="Bookman Old Style"/>
          <w:b/>
        </w:rPr>
      </w:pPr>
    </w:p>
    <w:p w14:paraId="17E00298" w14:textId="5C3EE5AA" w:rsidR="006220E3" w:rsidRPr="00C47C03" w:rsidRDefault="006220E3">
      <w:pPr>
        <w:rPr>
          <w:rFonts w:ascii="Bookman Old Style" w:hAnsi="Bookman Old Style"/>
        </w:rPr>
      </w:pPr>
    </w:p>
    <w:p w14:paraId="46362948" w14:textId="77777777" w:rsidR="00AC1874" w:rsidRPr="00C47C03" w:rsidRDefault="00AC1874">
      <w:pPr>
        <w:rPr>
          <w:rFonts w:ascii="Bookman Old Style" w:hAnsi="Bookman Old Style"/>
        </w:rPr>
      </w:pPr>
    </w:p>
    <w:sectPr w:rsidR="00AC1874" w:rsidRPr="00C47C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96892"/>
    <w:multiLevelType w:val="hybridMultilevel"/>
    <w:tmpl w:val="C9DED7D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31F9C"/>
    <w:multiLevelType w:val="hybridMultilevel"/>
    <w:tmpl w:val="3F5E83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423A5"/>
    <w:multiLevelType w:val="hybridMultilevel"/>
    <w:tmpl w:val="5FA83F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A65B9"/>
    <w:multiLevelType w:val="hybridMultilevel"/>
    <w:tmpl w:val="6024B408"/>
    <w:lvl w:ilvl="0" w:tplc="E8D4944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7443A"/>
    <w:multiLevelType w:val="hybridMultilevel"/>
    <w:tmpl w:val="31562EE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C44"/>
    <w:rsid w:val="003B6AAE"/>
    <w:rsid w:val="00496EEA"/>
    <w:rsid w:val="005D7711"/>
    <w:rsid w:val="006220E3"/>
    <w:rsid w:val="00A47176"/>
    <w:rsid w:val="00AC1874"/>
    <w:rsid w:val="00B13A5E"/>
    <w:rsid w:val="00C47C03"/>
    <w:rsid w:val="00D05C44"/>
    <w:rsid w:val="00D67553"/>
    <w:rsid w:val="00E93014"/>
    <w:rsid w:val="00F2295B"/>
    <w:rsid w:val="00F3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E6F1"/>
  <w15:chartTrackingRefBased/>
  <w15:docId w15:val="{F9DDC6C7-1584-406B-8C27-0CDCA4D0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87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874"/>
    <w:pPr>
      <w:ind w:left="720"/>
      <w:contextualSpacing/>
    </w:pPr>
  </w:style>
  <w:style w:type="table" w:styleId="TableGrid">
    <w:name w:val="Table Grid"/>
    <w:basedOn w:val="TableNormal"/>
    <w:uiPriority w:val="39"/>
    <w:rsid w:val="00AC187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Ziadi Kakeeto</dc:creator>
  <cp:keywords/>
  <dc:description/>
  <cp:lastModifiedBy>Ziadi Kakeeto</cp:lastModifiedBy>
  <cp:revision>6</cp:revision>
  <dcterms:created xsi:type="dcterms:W3CDTF">2023-06-07T08:15:00Z</dcterms:created>
  <dcterms:modified xsi:type="dcterms:W3CDTF">2023-06-10T17:20:00Z</dcterms:modified>
</cp:coreProperties>
</file>