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b/>
          <w:bCs/>
          <w:color w:val="222222"/>
        </w:rPr>
        <w:t>Key Information under VAT Registration</w:t>
      </w:r>
    </w:p>
    <w:p w:rsidR="006207E7" w:rsidRPr="00B76F3D" w:rsidRDefault="006207E7" w:rsidP="006207E7">
      <w:pPr>
        <w:spacing w:after="150" w:line="240" w:lineRule="auto"/>
        <w:jc w:val="both"/>
        <w:rPr>
          <w:rFonts w:ascii="Bookman Old Style" w:hAnsi="Bookman Old Style"/>
          <w:b/>
          <w:color w:val="0371B9"/>
        </w:rPr>
      </w:pPr>
      <w:r w:rsidRPr="00B76F3D">
        <w:rPr>
          <w:rFonts w:ascii="Bookman Old Style" w:hAnsi="Bookman Old Style"/>
          <w:b/>
          <w:color w:val="0371B9"/>
        </w:rPr>
        <w:t>VAT REGISTRATION</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VAT registration is the process of getting eligible persons put or recorded on the VAT Register.</w:t>
      </w:r>
    </w:p>
    <w:p w:rsidR="006207E7" w:rsidRPr="00B76F3D" w:rsidRDefault="006207E7" w:rsidP="006207E7">
      <w:pPr>
        <w:spacing w:after="150" w:line="240" w:lineRule="auto"/>
        <w:jc w:val="both"/>
        <w:rPr>
          <w:rFonts w:ascii="Bookman Old Style" w:hAnsi="Bookman Old Style"/>
          <w:b/>
          <w:color w:val="0371B9"/>
        </w:rPr>
      </w:pPr>
      <w:r w:rsidRPr="00B76F3D">
        <w:rPr>
          <w:rFonts w:ascii="Bookman Old Style" w:hAnsi="Bookman Old Style"/>
          <w:b/>
          <w:color w:val="0371B9"/>
        </w:rPr>
        <w:t>VAT THRESHOLD</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This refers to the minimum level of taxable turnover above which a person is required to register for VAT. The current annual threshold is Shs </w:t>
      </w:r>
      <w:r w:rsidRPr="0062622D">
        <w:rPr>
          <w:rFonts w:ascii="Bookman Old Style" w:eastAsia="Times New Roman" w:hAnsi="Bookman Old Style" w:cs="Times New Roman"/>
          <w:b/>
          <w:bCs/>
        </w:rPr>
        <w:t>150 million</w:t>
      </w:r>
      <w:r w:rsidRPr="0062622D">
        <w:rPr>
          <w:rFonts w:ascii="Bookman Old Style" w:eastAsia="Times New Roman" w:hAnsi="Bookman Old Style" w:cs="Times New Roman"/>
        </w:rPr>
        <w:t>. However for registration purposes, this is determined on a quarterly basis. i.e. it is Shs 37.5 million in any three consecutive calendar months.</w:t>
      </w:r>
    </w:p>
    <w:p w:rsidR="006207E7" w:rsidRPr="0062622D" w:rsidRDefault="006207E7" w:rsidP="006207E7">
      <w:pPr>
        <w:spacing w:after="136" w:line="231" w:lineRule="auto"/>
        <w:ind w:left="-3"/>
        <w:rPr>
          <w:rFonts w:ascii="Bookman Old Style" w:hAnsi="Bookman Old Style"/>
          <w:b/>
          <w:color w:val="0371B9"/>
        </w:rPr>
      </w:pPr>
      <w:r w:rsidRPr="0062622D">
        <w:rPr>
          <w:rFonts w:ascii="Bookman Old Style" w:hAnsi="Bookman Old Style"/>
          <w:b/>
          <w:color w:val="0371B9"/>
        </w:rPr>
        <w:t>WHO IS REQUIRED TO REGISTER FOR VAT?</w:t>
      </w:r>
    </w:p>
    <w:p w:rsidR="006207E7" w:rsidRPr="0062622D" w:rsidRDefault="006207E7" w:rsidP="006207E7">
      <w:pPr>
        <w:spacing w:after="136" w:line="231" w:lineRule="auto"/>
        <w:ind w:left="-3"/>
        <w:rPr>
          <w:rFonts w:ascii="Bookman Old Style" w:hAnsi="Bookman Old Style"/>
        </w:rPr>
      </w:pPr>
      <w:r w:rsidRPr="0062622D">
        <w:rPr>
          <w:rFonts w:ascii="Bookman Old Style" w:eastAsia="Times New Roman" w:hAnsi="Bookman Old Style" w:cs="Times New Roman"/>
        </w:rPr>
        <w:t>There are two categories of persons that are required to register for VAT under the VAT Act. These are</w:t>
      </w:r>
    </w:p>
    <w:p w:rsidR="006207E7" w:rsidRPr="0062622D" w:rsidRDefault="006207E7" w:rsidP="006207E7">
      <w:pPr>
        <w:numPr>
          <w:ilvl w:val="0"/>
          <w:numId w:val="3"/>
        </w:numPr>
        <w:spacing w:after="393" w:line="232" w:lineRule="auto"/>
        <w:ind w:hanging="357"/>
        <w:jc w:val="both"/>
        <w:rPr>
          <w:rFonts w:ascii="Bookman Old Style" w:hAnsi="Bookman Old Style"/>
        </w:rPr>
      </w:pPr>
      <w:r w:rsidRPr="0062622D">
        <w:rPr>
          <w:rFonts w:ascii="Bookman Old Style" w:hAnsi="Bookman Old Style"/>
        </w:rPr>
        <w:t>A person who carries on business activities or intending to carry on business activities is required to apply to be registered for VAT, if the turnover of taxable supplies of the enterprise for three consecutive calendar months exceeds or is likely to exceed Shs 37.5 million.  The annual registration threshold is 150m.</w:t>
      </w:r>
    </w:p>
    <w:p w:rsidR="006207E7" w:rsidRPr="0062622D" w:rsidRDefault="006207E7" w:rsidP="006207E7">
      <w:pPr>
        <w:numPr>
          <w:ilvl w:val="0"/>
          <w:numId w:val="3"/>
        </w:numPr>
        <w:spacing w:after="393" w:line="232" w:lineRule="auto"/>
        <w:ind w:hanging="357"/>
        <w:jc w:val="both"/>
        <w:rPr>
          <w:rFonts w:ascii="Bookman Old Style" w:hAnsi="Bookman Old Style"/>
        </w:rPr>
      </w:pPr>
      <w:r w:rsidRPr="0062622D">
        <w:rPr>
          <w:rFonts w:ascii="Bookman Old Style" w:hAnsi="Bookman Old Style"/>
        </w:rPr>
        <w:t>A person being a national, regional, local or public carries on business activities or intending to carry on business activities is required to apply to be registered for VAT regardless of the turnover.</w:t>
      </w:r>
      <w:r w:rsidRPr="0062622D">
        <w:rPr>
          <w:rFonts w:ascii="Bookman Old Style" w:eastAsia="Times New Roman" w:hAnsi="Bookman Old Style" w:cs="Times New Roman"/>
        </w:rPr>
        <w:t xml:space="preserve"> These include Government, Ministries, departments, parastatals, town councils and District councils and District.</w:t>
      </w:r>
    </w:p>
    <w:p w:rsidR="006207E7" w:rsidRPr="00B76F3D" w:rsidRDefault="006207E7" w:rsidP="006207E7">
      <w:pPr>
        <w:spacing w:after="150" w:line="240" w:lineRule="auto"/>
        <w:jc w:val="both"/>
        <w:rPr>
          <w:rFonts w:ascii="Bookman Old Style" w:hAnsi="Bookman Old Style"/>
          <w:b/>
          <w:color w:val="0070C0"/>
        </w:rPr>
      </w:pPr>
      <w:r w:rsidRPr="00B76F3D">
        <w:rPr>
          <w:rFonts w:ascii="Bookman Old Style" w:hAnsi="Bookman Old Style"/>
          <w:b/>
          <w:color w:val="0070C0"/>
        </w:rPr>
        <w:t>TURNOVER</w:t>
      </w:r>
    </w:p>
    <w:p w:rsidR="006207E7"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This is the total value of taxable sales of both goods and services.</w:t>
      </w:r>
    </w:p>
    <w:p w:rsidR="006207E7" w:rsidRPr="00B76F3D" w:rsidRDefault="006207E7" w:rsidP="006207E7">
      <w:pPr>
        <w:spacing w:after="150" w:line="240" w:lineRule="auto"/>
        <w:jc w:val="both"/>
        <w:rPr>
          <w:rFonts w:ascii="Bookman Old Style" w:eastAsia="Times New Roman" w:hAnsi="Bookman Old Style" w:cs="Times New Roman"/>
        </w:rPr>
      </w:pPr>
    </w:p>
    <w:p w:rsidR="006207E7" w:rsidRPr="00B76F3D" w:rsidRDefault="006207E7" w:rsidP="006207E7">
      <w:pPr>
        <w:spacing w:after="240" w:line="231" w:lineRule="auto"/>
        <w:ind w:left="-3"/>
        <w:rPr>
          <w:rFonts w:ascii="Bookman Old Style" w:hAnsi="Bookman Old Style"/>
        </w:rPr>
      </w:pPr>
      <w:r w:rsidRPr="00B76F3D">
        <w:rPr>
          <w:rFonts w:ascii="Bookman Old Style" w:hAnsi="Bookman Old Style"/>
          <w:b/>
          <w:color w:val="0070C0"/>
        </w:rPr>
        <w:t xml:space="preserve">WHAT I NEED </w:t>
      </w:r>
      <w:r w:rsidRPr="00B76F3D">
        <w:rPr>
          <w:rFonts w:ascii="Bookman Old Style" w:hAnsi="Bookman Old Style"/>
          <w:b/>
          <w:color w:val="0371B9"/>
        </w:rPr>
        <w:t>TO CONSIDER BEFORE REGISTERING.</w:t>
      </w:r>
    </w:p>
    <w:p w:rsidR="006207E7" w:rsidRPr="0062622D" w:rsidRDefault="006207E7" w:rsidP="006207E7">
      <w:pPr>
        <w:jc w:val="both"/>
        <w:rPr>
          <w:rFonts w:ascii="Bookman Old Style" w:hAnsi="Bookman Old Style"/>
        </w:rPr>
      </w:pPr>
      <w:r w:rsidRPr="0062622D">
        <w:rPr>
          <w:rFonts w:ascii="Bookman Old Style" w:hAnsi="Bookman Old Style"/>
        </w:rPr>
        <w:t xml:space="preserve">If during the past 3 calendar months you made </w:t>
      </w:r>
      <w:r w:rsidRPr="0062622D">
        <w:rPr>
          <w:rFonts w:ascii="Bookman Old Style" w:hAnsi="Bookman Old Style"/>
          <w:b/>
        </w:rPr>
        <w:t>taxable supplies</w:t>
      </w:r>
      <w:r w:rsidRPr="0062622D">
        <w:rPr>
          <w:rFonts w:ascii="Bookman Old Style" w:hAnsi="Bookman Old Style"/>
        </w:rPr>
        <w:t xml:space="preserve"> whose gross value, exclusive of any tax, exceeded Shs.37.5 million then you have to register for VAT immediately.  Or, if you reasonably expect that during the next 3 calendar months the total value of your </w:t>
      </w:r>
      <w:r w:rsidRPr="0062622D">
        <w:rPr>
          <w:rFonts w:ascii="Bookman Old Style" w:hAnsi="Bookman Old Style"/>
          <w:b/>
        </w:rPr>
        <w:t>taxable supplies</w:t>
      </w:r>
      <w:r w:rsidRPr="0062622D">
        <w:rPr>
          <w:rFonts w:ascii="Bookman Old Style" w:hAnsi="Bookman Old Style"/>
        </w:rPr>
        <w:t xml:space="preserve"> is likely to exceed Shs.37.5 million then you must register for VAT.</w:t>
      </w:r>
    </w:p>
    <w:p w:rsidR="006207E7" w:rsidRPr="0062622D" w:rsidRDefault="006207E7" w:rsidP="006207E7">
      <w:pPr>
        <w:jc w:val="both"/>
        <w:rPr>
          <w:rFonts w:ascii="Bookman Old Style" w:hAnsi="Bookman Old Style"/>
        </w:rPr>
      </w:pPr>
      <w:r w:rsidRPr="0062622D">
        <w:rPr>
          <w:rFonts w:ascii="Bookman Old Style" w:hAnsi="Bookman Old Style"/>
        </w:rPr>
        <w:t xml:space="preserve">Remember that even if you don’t qualify to register at present, and in </w:t>
      </w:r>
      <w:r w:rsidRPr="00B76F3D">
        <w:rPr>
          <w:rFonts w:ascii="Bookman Old Style" w:hAnsi="Bookman Old Style"/>
        </w:rPr>
        <w:t xml:space="preserve">future </w:t>
      </w:r>
      <w:r w:rsidRPr="00B76F3D">
        <w:rPr>
          <w:rFonts w:ascii="Bookman Old Style" w:hAnsi="Bookman Old Style"/>
          <w:b/>
        </w:rPr>
        <w:t>your taxable turnover</w:t>
      </w:r>
      <w:r w:rsidRPr="0062622D">
        <w:rPr>
          <w:rFonts w:ascii="Bookman Old Style" w:hAnsi="Bookman Old Style"/>
        </w:rPr>
        <w:t xml:space="preserve"> increases to the level mentioned above, you must register at that point as required by the law.</w:t>
      </w:r>
    </w:p>
    <w:p w:rsidR="006207E7" w:rsidRPr="0062622D" w:rsidRDefault="006207E7" w:rsidP="006207E7">
      <w:pPr>
        <w:jc w:val="both"/>
        <w:rPr>
          <w:rFonts w:ascii="Bookman Old Style" w:hAnsi="Bookman Old Style"/>
        </w:rPr>
      </w:pPr>
      <w:r w:rsidRPr="0062622D">
        <w:rPr>
          <w:rFonts w:ascii="Bookman Old Style" w:hAnsi="Bookman Old Style"/>
        </w:rPr>
        <w:t xml:space="preserve">Turnover is the total value of all your taxable supplies (including exports) made in Uganda. They include zero-rated and standard </w:t>
      </w:r>
      <w:r w:rsidRPr="0062622D">
        <w:rPr>
          <w:rFonts w:ascii="Bookman Old Style" w:hAnsi="Bookman Old Style"/>
          <w:noProof/>
          <w:color w:val="000000"/>
        </w:rPr>
        <w:t>rated supplies.</w:t>
      </w:r>
    </w:p>
    <w:p w:rsidR="006207E7" w:rsidRDefault="006207E7" w:rsidP="006207E7">
      <w:pPr>
        <w:spacing w:after="240" w:line="231" w:lineRule="auto"/>
        <w:ind w:left="-3"/>
        <w:jc w:val="both"/>
        <w:rPr>
          <w:rFonts w:ascii="Bookman Old Style" w:hAnsi="Bookman Old Style"/>
          <w:b/>
          <w:color w:val="0371B9"/>
        </w:rPr>
      </w:pPr>
    </w:p>
    <w:p w:rsidR="006207E7" w:rsidRPr="0062622D" w:rsidRDefault="006207E7" w:rsidP="006207E7">
      <w:pPr>
        <w:spacing w:after="240" w:line="231" w:lineRule="auto"/>
        <w:ind w:left="-3"/>
        <w:jc w:val="both"/>
        <w:rPr>
          <w:rFonts w:ascii="Bookman Old Style" w:hAnsi="Bookman Old Style"/>
        </w:rPr>
      </w:pPr>
      <w:r w:rsidRPr="0062622D">
        <w:rPr>
          <w:rFonts w:ascii="Bookman Old Style" w:hAnsi="Bookman Old Style"/>
          <w:b/>
          <w:color w:val="0371B9"/>
        </w:rPr>
        <w:t xml:space="preserve">HOW DO I CALCULATE </w:t>
      </w:r>
      <w:r w:rsidRPr="0062622D">
        <w:rPr>
          <w:rFonts w:ascii="Bookman Old Style" w:hAnsi="Bookman Old Style"/>
          <w:b/>
          <w:color w:val="0371B9"/>
        </w:rPr>
        <w:tab/>
        <w:t>MY TURNOVER?</w:t>
      </w:r>
    </w:p>
    <w:p w:rsidR="006207E7" w:rsidRPr="0062622D" w:rsidRDefault="006207E7" w:rsidP="006207E7">
      <w:pPr>
        <w:spacing w:after="251"/>
        <w:rPr>
          <w:rFonts w:ascii="Bookman Old Style" w:hAnsi="Bookman Old Style"/>
        </w:rPr>
      </w:pPr>
      <w:r w:rsidRPr="0062622D">
        <w:rPr>
          <w:rFonts w:ascii="Bookman Old Style" w:hAnsi="Bookman Old Style"/>
        </w:rPr>
        <w:lastRenderedPageBreak/>
        <w:t>Your turnover is calculated on an ongoing basis.  Two periods should be considered - the past 3 calendar months and the next 3 calendar months, on a month by month basis.</w:t>
      </w:r>
    </w:p>
    <w:p w:rsidR="006207E7" w:rsidRPr="0062622D" w:rsidRDefault="006207E7" w:rsidP="006207E7">
      <w:pPr>
        <w:spacing w:after="192"/>
        <w:rPr>
          <w:rFonts w:ascii="Bookman Old Style" w:hAnsi="Bookman Old Style"/>
        </w:rPr>
      </w:pPr>
      <w:r w:rsidRPr="0062622D">
        <w:rPr>
          <w:rFonts w:ascii="Bookman Old Style" w:hAnsi="Bookman Old Style"/>
        </w:rPr>
        <w:t xml:space="preserve">You should ascertain at the end of each calendar month the total value of taxable goods and services supplied by your business for the past 3 months.  </w:t>
      </w:r>
    </w:p>
    <w:p w:rsidR="006207E7" w:rsidRPr="0062622D" w:rsidRDefault="006207E7" w:rsidP="006207E7">
      <w:pPr>
        <w:spacing w:after="241"/>
        <w:rPr>
          <w:rFonts w:ascii="Bookman Old Style" w:hAnsi="Bookman Old Style"/>
        </w:rPr>
      </w:pPr>
      <w:r w:rsidRPr="0062622D">
        <w:rPr>
          <w:rFonts w:ascii="Bookman Old Style" w:hAnsi="Bookman Old Style"/>
        </w:rPr>
        <w:t>Where the total</w:t>
      </w:r>
      <w:r>
        <w:rPr>
          <w:rFonts w:ascii="Bookman Old Style" w:hAnsi="Bookman Old Style"/>
        </w:rPr>
        <w:t xml:space="preserve"> turnover exceeds Shs 37.5 million for VAT o</w:t>
      </w:r>
      <w:r w:rsidRPr="0062622D">
        <w:rPr>
          <w:rFonts w:ascii="Bookman Old Style" w:hAnsi="Bookman Old Style"/>
        </w:rPr>
        <w:t>r If after estimating the total value of supplies for the next 3 months you expect your turnover to exceed Shs 37. 5 million then you are required to register.</w:t>
      </w:r>
    </w:p>
    <w:p w:rsidR="006207E7" w:rsidRPr="0062622D" w:rsidRDefault="006207E7" w:rsidP="006207E7">
      <w:pPr>
        <w:spacing w:after="78" w:line="231" w:lineRule="auto"/>
        <w:ind w:left="-3"/>
        <w:rPr>
          <w:rFonts w:ascii="Bookman Old Style" w:hAnsi="Bookman Old Style"/>
        </w:rPr>
      </w:pPr>
      <w:r w:rsidRPr="0062622D">
        <w:rPr>
          <w:rFonts w:ascii="Bookman Old Style" w:hAnsi="Bookman Old Style"/>
          <w:b/>
          <w:color w:val="0371B9"/>
        </w:rPr>
        <w:t>WHO IS A TAXABLE PERSON?</w:t>
      </w:r>
    </w:p>
    <w:p w:rsidR="006207E7" w:rsidRPr="0062622D" w:rsidRDefault="006207E7" w:rsidP="006207E7">
      <w:pPr>
        <w:spacing w:after="138"/>
        <w:rPr>
          <w:rFonts w:ascii="Bookman Old Style" w:hAnsi="Bookman Old Style"/>
        </w:rPr>
      </w:pPr>
      <w:r w:rsidRPr="0062622D">
        <w:rPr>
          <w:rFonts w:ascii="Bookman Old Style" w:hAnsi="Bookman Old Style"/>
        </w:rPr>
        <w:t>A taxable person is:</w:t>
      </w:r>
    </w:p>
    <w:p w:rsidR="006207E7" w:rsidRPr="0062622D" w:rsidRDefault="006207E7" w:rsidP="006207E7">
      <w:pPr>
        <w:numPr>
          <w:ilvl w:val="0"/>
          <w:numId w:val="4"/>
        </w:numPr>
        <w:spacing w:after="196" w:line="232" w:lineRule="auto"/>
        <w:ind w:right="151" w:hanging="357"/>
        <w:jc w:val="both"/>
        <w:rPr>
          <w:rFonts w:ascii="Bookman Old Style" w:hAnsi="Bookman Old Style"/>
        </w:rPr>
      </w:pPr>
      <w:r w:rsidRPr="0062622D">
        <w:rPr>
          <w:rFonts w:ascii="Bookman Old Style" w:hAnsi="Bookman Old Style"/>
        </w:rPr>
        <w:t>A person who is registered for VAT.</w:t>
      </w:r>
    </w:p>
    <w:p w:rsidR="006207E7" w:rsidRPr="0062622D" w:rsidRDefault="006207E7" w:rsidP="006207E7">
      <w:pPr>
        <w:numPr>
          <w:ilvl w:val="0"/>
          <w:numId w:val="4"/>
        </w:numPr>
        <w:spacing w:after="297" w:line="232" w:lineRule="auto"/>
        <w:ind w:right="151" w:hanging="357"/>
        <w:jc w:val="both"/>
        <w:rPr>
          <w:rFonts w:ascii="Bookman Old Style" w:hAnsi="Bookman Old Style"/>
        </w:rPr>
      </w:pPr>
      <w:r w:rsidRPr="0062622D">
        <w:rPr>
          <w:rFonts w:ascii="Bookman Old Style" w:hAnsi="Bookman Old Style"/>
        </w:rPr>
        <w:t>A person who is not registered but is required to be registered for VAT.</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b/>
          <w:bCs/>
        </w:rPr>
        <w:t>General Requirements for VAT Registration</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(i) The applicant must have a fixed place of abode or business.</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(ii) The applicant should be able to keep proper books of accounts.</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(iii) The applicant should be able to submit regular tax returns.</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(iv) The applicant should be a fit and a proper person.In the opinion of the Commissioner General.</w:t>
      </w:r>
    </w:p>
    <w:p w:rsidR="006207E7" w:rsidRDefault="006207E7" w:rsidP="006207E7">
      <w:pPr>
        <w:spacing w:after="150" w:line="240" w:lineRule="auto"/>
        <w:jc w:val="both"/>
        <w:rPr>
          <w:rFonts w:ascii="Bookman Old Style" w:eastAsia="Times New Roman" w:hAnsi="Bookman Old Style" w:cs="Times New Roman"/>
          <w:b/>
          <w:bCs/>
        </w:rPr>
      </w:pP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b/>
          <w:bCs/>
        </w:rPr>
        <w:t>VAT Registration Processes</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(a) Application under compulsory basis</w:t>
      </w:r>
    </w:p>
    <w:p w:rsidR="006207E7" w:rsidRPr="00B76F3D" w:rsidRDefault="006207E7" w:rsidP="006207E7">
      <w:pPr>
        <w:spacing w:after="150" w:line="240" w:lineRule="auto"/>
        <w:jc w:val="both"/>
        <w:rPr>
          <w:rFonts w:ascii="Bookman Old Style" w:eastAsia="Times New Roman" w:hAnsi="Bookman Old Style" w:cs="Times New Roman"/>
          <w:b/>
        </w:rPr>
      </w:pPr>
      <w:r w:rsidRPr="00B76F3D">
        <w:rPr>
          <w:rFonts w:ascii="Bookman Old Style" w:eastAsia="Times New Roman" w:hAnsi="Bookman Old Style" w:cs="Times New Roman"/>
          <w:b/>
        </w:rPr>
        <w:t>Historical test:</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 xml:space="preserve">A Person who makes taxable supplies that exceed the VAT threshold is required to register for VAT. The person shall apply to register </w:t>
      </w:r>
      <w:r>
        <w:rPr>
          <w:rFonts w:ascii="Bookman Old Style" w:eastAsia="Times New Roman" w:hAnsi="Bookman Old Style" w:cs="Times New Roman"/>
        </w:rPr>
        <w:t>within 20 days after a period o</w:t>
      </w:r>
      <w:r w:rsidRPr="0062622D">
        <w:rPr>
          <w:rFonts w:ascii="Bookman Old Style" w:eastAsia="Times New Roman" w:hAnsi="Bookman Old Style" w:cs="Times New Roman"/>
        </w:rPr>
        <w:t>f three consecutive calendar months if in that period the person’s taxable supplies exceeded a quarter of the annual threshold (currently Shs 37.5 million). For example, if one’s taxable sales in the months of January to March 2016 exceed Shs 37.5 million, that person must apply for registration in the first 20 days of April 2016.</w:t>
      </w:r>
    </w:p>
    <w:p w:rsidR="006207E7" w:rsidRPr="00B76F3D" w:rsidRDefault="006207E7" w:rsidP="006207E7">
      <w:pPr>
        <w:spacing w:after="150" w:line="240" w:lineRule="auto"/>
        <w:jc w:val="both"/>
        <w:rPr>
          <w:rFonts w:ascii="Bookman Old Style" w:eastAsia="Times New Roman" w:hAnsi="Bookman Old Style" w:cs="Times New Roman"/>
          <w:b/>
        </w:rPr>
      </w:pPr>
      <w:r w:rsidRPr="00B76F3D">
        <w:rPr>
          <w:rFonts w:ascii="Bookman Old Style" w:eastAsia="Times New Roman" w:hAnsi="Bookman Old Style" w:cs="Times New Roman"/>
          <w:b/>
        </w:rPr>
        <w:t>Future test:</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Where a person expects to make taxable supplies of more than a quarter of the annual threshold (Shs 37.5 million) in the next three months, that person is required to apply for registration at the beginning of that period of the projected three consecutive calendar months. This is especially common with contractual jobs where one would be certain of what to earn and when. For example if at the beginning of January one projects that he/she will make taxable sales over shs,12,500,000 in the next three months is (from January to March 2016), then that person is required to apply for registration on 1st January 2016. Furthermore, in case the Commissioner General finds reasonable grounds to believe that the person is required to apply to registration but has failed to register, he/she shall register such person and registration shall take effect as he/she deems.</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(b) Compulsory registration for Public Bodies Public Bodies should apply for registration on the date they start engaging in any business activity.</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(c) Application under Voluntary Registration the date of application is as per the taxpayer’s choice.</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b/>
          <w:bCs/>
        </w:rPr>
        <w:t>Inspection / Notification</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This exercise is conducted to confirm the correctness of the information provided in the application form provided in the application form by the taxpayer. It is on the basis of the findings that the decision whether or not to register that person is made and the taxpayer notified accordingly.</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b/>
          <w:bCs/>
        </w:rPr>
        <w:t>Effective date of registration</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In the case of compulsory registration, the effective date of registration is the first day of the month following the month in which the application was required to be made. For instance, if due date to apply for registration fell in the month of April 2016, effective date of registration would be 1st May 2016.</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For the case of voluntary registration, the effective date of registration is the first day of the month following the month in which the application was made. For instance, if the application was in the month of January, 2016, effective date of registration would be 1st Feb. 2016.</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b/>
          <w:bCs/>
        </w:rPr>
        <w:t>VAT Registration Entitlements</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Upon being registered the person will be entitled to Input tax credit on both capital goods and trading stock at hand on the effective date of registration provided they were purchased not more than six months prior to effective date of registration.</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b/>
          <w:bCs/>
        </w:rPr>
        <w:t>Penalty for late registration</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A person who fails to apply for registration by the due date is liable to a penalty of double the tax due from the date the person ought to have been registered to when he is registered.</w:t>
      </w:r>
    </w:p>
    <w:p w:rsidR="006207E7" w:rsidRPr="0062622D" w:rsidRDefault="006207E7" w:rsidP="006207E7">
      <w:pPr>
        <w:spacing w:after="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 </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Times New Roman" w:eastAsia="Times New Roman" w:hAnsi="Times New Roman" w:cs="Times New Roman"/>
        </w:rPr>
        <w:t>​</w:t>
      </w:r>
      <w:r w:rsidRPr="0062622D">
        <w:rPr>
          <w:rFonts w:ascii="Bookman Old Style" w:eastAsia="Times New Roman" w:hAnsi="Bookman Old Style" w:cs="Times New Roman"/>
          <w:b/>
          <w:bCs/>
        </w:rPr>
        <w:t>VAT Inspection Procedure</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1. On the agreed date and time, two officers from URA with valid identification will visit your business premises to confirm the following:</w:t>
      </w:r>
    </w:p>
    <w:p w:rsidR="006207E7" w:rsidRPr="0062622D" w:rsidRDefault="006207E7" w:rsidP="006207E7">
      <w:pPr>
        <w:numPr>
          <w:ilvl w:val="0"/>
          <w:numId w:val="1"/>
        </w:numPr>
        <w:spacing w:before="100" w:beforeAutospacing="1" w:after="100" w:afterAutospacing="1"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Nature of business as indicated in the TIN application;</w:t>
      </w:r>
    </w:p>
    <w:p w:rsidR="006207E7" w:rsidRPr="0062622D" w:rsidRDefault="006207E7" w:rsidP="006207E7">
      <w:pPr>
        <w:numPr>
          <w:ilvl w:val="0"/>
          <w:numId w:val="1"/>
        </w:numPr>
        <w:spacing w:before="100" w:beforeAutospacing="1" w:after="100" w:afterAutospacing="1"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Place of abode (physical location of the business) as evidenced by either rent receipts or tenancy agreement;</w:t>
      </w:r>
    </w:p>
    <w:p w:rsidR="006207E7" w:rsidRPr="0062622D" w:rsidRDefault="006207E7" w:rsidP="006207E7">
      <w:pPr>
        <w:numPr>
          <w:ilvl w:val="0"/>
          <w:numId w:val="1"/>
        </w:numPr>
        <w:spacing w:before="100" w:beforeAutospacing="1" w:after="100" w:afterAutospacing="1"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Business records e.g. receipts, pay roll, invoices etc;</w:t>
      </w:r>
    </w:p>
    <w:p w:rsidR="006207E7" w:rsidRPr="0062622D" w:rsidRDefault="006207E7" w:rsidP="006207E7">
      <w:pPr>
        <w:numPr>
          <w:ilvl w:val="0"/>
          <w:numId w:val="1"/>
        </w:numPr>
        <w:spacing w:before="100" w:beforeAutospacing="1" w:after="100" w:afterAutospacing="1"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Number of employees.</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2. Following the inspection by the officers, the TIN application will either be approved with VAT granted if you meet the requirement above or approved without VAT if there was any requirement that was not fulfilled.</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3. In the event that you did not meet the inspection requirements and VAT is not granted, you can reapply for VAT after fulfilling the requirements.</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b/>
          <w:bCs/>
          <w:color w:val="FF0000"/>
        </w:rPr>
        <w:t>Please Note:</w:t>
      </w:r>
    </w:p>
    <w:p w:rsidR="006207E7" w:rsidRPr="0062622D" w:rsidRDefault="006207E7" w:rsidP="006207E7">
      <w:pPr>
        <w:numPr>
          <w:ilvl w:val="0"/>
          <w:numId w:val="2"/>
        </w:numPr>
        <w:spacing w:before="100" w:beforeAutospacing="1" w:after="100" w:afterAutospacing="1"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Failure to respond to the first proposed inspection/interview date, two reminder notifications will be sent on the </w:t>
      </w:r>
      <w:r w:rsidRPr="0062622D">
        <w:rPr>
          <w:rFonts w:ascii="Bookman Old Style" w:eastAsia="Times New Roman" w:hAnsi="Bookman Old Style" w:cs="Times New Roman"/>
          <w:b/>
          <w:bCs/>
        </w:rPr>
        <w:t>7th</w:t>
      </w:r>
      <w:r w:rsidRPr="0062622D">
        <w:rPr>
          <w:rFonts w:ascii="Bookman Old Style" w:eastAsia="Times New Roman" w:hAnsi="Bookman Old Style" w:cs="Times New Roman"/>
        </w:rPr>
        <w:t> and </w:t>
      </w:r>
      <w:r w:rsidRPr="0062622D">
        <w:rPr>
          <w:rFonts w:ascii="Bookman Old Style" w:eastAsia="Times New Roman" w:hAnsi="Bookman Old Style" w:cs="Times New Roman"/>
          <w:b/>
          <w:bCs/>
        </w:rPr>
        <w:t>14th</w:t>
      </w:r>
      <w:r w:rsidRPr="0062622D">
        <w:rPr>
          <w:rFonts w:ascii="Bookman Old Style" w:eastAsia="Times New Roman" w:hAnsi="Bookman Old Style" w:cs="Times New Roman"/>
        </w:rPr>
        <w:t> day upon which you will be expected to respond.</w:t>
      </w:r>
    </w:p>
    <w:p w:rsidR="006207E7" w:rsidRPr="0062622D" w:rsidRDefault="006207E7" w:rsidP="006207E7">
      <w:pPr>
        <w:numPr>
          <w:ilvl w:val="0"/>
          <w:numId w:val="2"/>
        </w:numPr>
        <w:spacing w:before="100" w:beforeAutospacing="1" w:after="100" w:afterAutospacing="1"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Failure to respond to the above notifications will lead to auto rejection of the VAT application.</w:t>
      </w:r>
    </w:p>
    <w:p w:rsidR="006207E7" w:rsidRPr="0062622D" w:rsidRDefault="006207E7" w:rsidP="006207E7">
      <w:pPr>
        <w:spacing w:before="100" w:beforeAutospacing="1" w:after="100" w:afterAutospacing="1" w:line="240" w:lineRule="auto"/>
        <w:jc w:val="both"/>
        <w:rPr>
          <w:rFonts w:ascii="Bookman Old Style" w:eastAsia="Times New Roman" w:hAnsi="Bookman Old Style" w:cs="Times New Roman"/>
        </w:rPr>
      </w:pPr>
      <w:r w:rsidRPr="0062622D">
        <w:rPr>
          <w:rFonts w:ascii="Bookman Old Style" w:hAnsi="Bookman Old Style"/>
        </w:rPr>
        <w:t xml:space="preserve"> </w:t>
      </w:r>
      <w:r w:rsidRPr="0062622D">
        <w:rPr>
          <w:rFonts w:ascii="Bookman Old Style" w:hAnsi="Bookman Old Style"/>
          <w:b/>
          <w:color w:val="0371B9"/>
        </w:rPr>
        <w:t>WHAT IS EXEMPT FROM VAT?</w:t>
      </w:r>
    </w:p>
    <w:p w:rsidR="006207E7" w:rsidRPr="0062622D" w:rsidRDefault="006207E7" w:rsidP="006207E7">
      <w:pPr>
        <w:spacing w:line="336" w:lineRule="auto"/>
        <w:ind w:right="175"/>
        <w:rPr>
          <w:rFonts w:ascii="Bookman Old Style" w:hAnsi="Bookman Old Style"/>
        </w:rPr>
      </w:pPr>
      <w:r w:rsidRPr="0062622D">
        <w:rPr>
          <w:rFonts w:ascii="Bookman Old Style" w:hAnsi="Bookman Old Style"/>
        </w:rPr>
        <w:t>Exempt supplies are supplies of goods and services which do not attract VAT. These are specified in the second schedule to the VAT Act. Examples of exempt supplies include;</w:t>
      </w:r>
    </w:p>
    <w:p w:rsidR="006207E7" w:rsidRPr="0062622D" w:rsidRDefault="006207E7" w:rsidP="006207E7">
      <w:pPr>
        <w:numPr>
          <w:ilvl w:val="0"/>
          <w:numId w:val="7"/>
        </w:numPr>
        <w:spacing w:after="200" w:line="232" w:lineRule="auto"/>
        <w:ind w:hanging="422"/>
        <w:jc w:val="both"/>
        <w:rPr>
          <w:rFonts w:ascii="Bookman Old Style" w:hAnsi="Bookman Old Style"/>
        </w:rPr>
      </w:pPr>
      <w:r w:rsidRPr="0062622D">
        <w:rPr>
          <w:rFonts w:ascii="Bookman Old Style" w:hAnsi="Bookman Old Style"/>
        </w:rPr>
        <w:t>Health insurance and life insurance services</w:t>
      </w:r>
    </w:p>
    <w:p w:rsidR="006207E7" w:rsidRPr="0062622D" w:rsidRDefault="006207E7" w:rsidP="006207E7">
      <w:pPr>
        <w:numPr>
          <w:ilvl w:val="0"/>
          <w:numId w:val="7"/>
        </w:numPr>
        <w:spacing w:after="199" w:line="232" w:lineRule="auto"/>
        <w:ind w:hanging="422"/>
        <w:jc w:val="both"/>
        <w:rPr>
          <w:rFonts w:ascii="Bookman Old Style" w:hAnsi="Bookman Old Style"/>
        </w:rPr>
      </w:pPr>
      <w:r w:rsidRPr="0062622D">
        <w:rPr>
          <w:rFonts w:ascii="Bookman Old Style" w:hAnsi="Bookman Old Style"/>
        </w:rPr>
        <w:t>Petroleum fuels,</w:t>
      </w:r>
    </w:p>
    <w:p w:rsidR="006207E7" w:rsidRPr="0062622D" w:rsidRDefault="006207E7" w:rsidP="006207E7">
      <w:pPr>
        <w:numPr>
          <w:ilvl w:val="0"/>
          <w:numId w:val="7"/>
        </w:numPr>
        <w:spacing w:after="199" w:line="232" w:lineRule="auto"/>
        <w:ind w:hanging="422"/>
        <w:jc w:val="both"/>
        <w:rPr>
          <w:rFonts w:ascii="Bookman Old Style" w:hAnsi="Bookman Old Style"/>
        </w:rPr>
      </w:pPr>
      <w:r w:rsidRPr="0062622D">
        <w:rPr>
          <w:rFonts w:ascii="Bookman Old Style" w:hAnsi="Bookman Old Style"/>
        </w:rPr>
        <w:t>Social welfare services</w:t>
      </w:r>
    </w:p>
    <w:p w:rsidR="006207E7" w:rsidRPr="0062622D" w:rsidRDefault="006207E7" w:rsidP="006207E7">
      <w:pPr>
        <w:numPr>
          <w:ilvl w:val="0"/>
          <w:numId w:val="7"/>
        </w:numPr>
        <w:spacing w:after="200" w:line="232" w:lineRule="auto"/>
        <w:ind w:hanging="422"/>
        <w:jc w:val="both"/>
        <w:rPr>
          <w:rFonts w:ascii="Bookman Old Style" w:hAnsi="Bookman Old Style"/>
        </w:rPr>
      </w:pPr>
      <w:r w:rsidRPr="0062622D">
        <w:rPr>
          <w:rFonts w:ascii="Bookman Old Style" w:hAnsi="Bookman Old Style"/>
        </w:rPr>
        <w:t>Educational services,</w:t>
      </w:r>
    </w:p>
    <w:p w:rsidR="006207E7" w:rsidRPr="0062622D" w:rsidRDefault="006207E7" w:rsidP="006207E7">
      <w:pPr>
        <w:numPr>
          <w:ilvl w:val="0"/>
          <w:numId w:val="7"/>
        </w:numPr>
        <w:spacing w:after="199" w:line="232" w:lineRule="auto"/>
        <w:ind w:hanging="422"/>
        <w:jc w:val="both"/>
        <w:rPr>
          <w:rFonts w:ascii="Bookman Old Style" w:hAnsi="Bookman Old Style"/>
        </w:rPr>
      </w:pPr>
      <w:r w:rsidRPr="0062622D">
        <w:rPr>
          <w:rFonts w:ascii="Bookman Old Style" w:hAnsi="Bookman Old Style"/>
        </w:rPr>
        <w:t>Financial Services</w:t>
      </w:r>
    </w:p>
    <w:p w:rsidR="006207E7" w:rsidRPr="0062622D" w:rsidRDefault="006207E7" w:rsidP="006207E7">
      <w:pPr>
        <w:numPr>
          <w:ilvl w:val="0"/>
          <w:numId w:val="7"/>
        </w:numPr>
        <w:spacing w:after="196" w:line="232" w:lineRule="auto"/>
        <w:ind w:hanging="422"/>
        <w:jc w:val="both"/>
        <w:rPr>
          <w:rFonts w:ascii="Bookman Old Style" w:hAnsi="Bookman Old Style"/>
        </w:rPr>
      </w:pPr>
      <w:r>
        <w:rPr>
          <w:rFonts w:ascii="Bookman Old Style" w:hAnsi="Bookman Old Style"/>
        </w:rPr>
        <w:t xml:space="preserve">Passenger </w:t>
      </w:r>
      <w:r w:rsidRPr="0062622D">
        <w:rPr>
          <w:rFonts w:ascii="Bookman Old Style" w:hAnsi="Bookman Old Style"/>
        </w:rPr>
        <w:t>transportation services</w:t>
      </w:r>
    </w:p>
    <w:p w:rsidR="006207E7" w:rsidRPr="0062622D" w:rsidRDefault="006207E7" w:rsidP="006207E7">
      <w:pPr>
        <w:ind w:right="175"/>
        <w:rPr>
          <w:rFonts w:ascii="Bookman Old Style" w:hAnsi="Bookman Old Style"/>
        </w:rPr>
      </w:pPr>
      <w:r w:rsidRPr="0062622D">
        <w:rPr>
          <w:rFonts w:ascii="Bookman Old Style" w:hAnsi="Bookman Old Style"/>
        </w:rPr>
        <w:t>A person dealing only in exempt supplies is not expected to register for VAT while one dealing in zero rated supplies is expected to register in case they meet the registration requirements.</w:t>
      </w:r>
    </w:p>
    <w:p w:rsidR="006207E7" w:rsidRDefault="006207E7" w:rsidP="006207E7">
      <w:pPr>
        <w:spacing w:after="7" w:line="231" w:lineRule="auto"/>
        <w:rPr>
          <w:rFonts w:ascii="Bookman Old Style" w:hAnsi="Bookman Old Style"/>
          <w:b/>
          <w:color w:val="0371B9"/>
        </w:rPr>
      </w:pPr>
    </w:p>
    <w:p w:rsidR="006207E7" w:rsidRDefault="006207E7" w:rsidP="006207E7">
      <w:pPr>
        <w:spacing w:after="7" w:line="231" w:lineRule="auto"/>
        <w:rPr>
          <w:rFonts w:ascii="Bookman Old Style" w:hAnsi="Bookman Old Style"/>
          <w:b/>
          <w:color w:val="0371B9"/>
        </w:rPr>
      </w:pPr>
      <w:r w:rsidRPr="0062622D">
        <w:rPr>
          <w:rFonts w:ascii="Bookman Old Style" w:hAnsi="Bookman Old Style"/>
          <w:b/>
          <w:color w:val="0371B9"/>
        </w:rPr>
        <w:t>WHAT IS IN PUT TAX?</w:t>
      </w:r>
    </w:p>
    <w:p w:rsidR="006207E7" w:rsidRPr="0062622D" w:rsidRDefault="006207E7" w:rsidP="006207E7">
      <w:pPr>
        <w:spacing w:after="7" w:line="231" w:lineRule="auto"/>
        <w:rPr>
          <w:rFonts w:ascii="Bookman Old Style" w:hAnsi="Bookman Old Style"/>
          <w:b/>
          <w:color w:val="0371B9"/>
        </w:rPr>
      </w:pPr>
    </w:p>
    <w:p w:rsidR="006207E7" w:rsidRPr="0062622D" w:rsidRDefault="006207E7" w:rsidP="006207E7">
      <w:pPr>
        <w:ind w:right="175"/>
        <w:rPr>
          <w:rFonts w:ascii="Bookman Old Style" w:hAnsi="Bookman Old Style"/>
        </w:rPr>
      </w:pPr>
      <w:r w:rsidRPr="0062622D">
        <w:rPr>
          <w:rFonts w:ascii="Bookman Old Style" w:hAnsi="Bookman Old Style"/>
        </w:rPr>
        <w:t>Input tax means the tax paid or payable in respect of taxable purchases or on import of goods or services by a taxable person.</w:t>
      </w:r>
    </w:p>
    <w:p w:rsidR="006207E7" w:rsidRDefault="006207E7" w:rsidP="006207E7">
      <w:pPr>
        <w:spacing w:after="7" w:line="231" w:lineRule="auto"/>
        <w:rPr>
          <w:rFonts w:ascii="Bookman Old Style" w:hAnsi="Bookman Old Style"/>
          <w:b/>
          <w:color w:val="0371B9"/>
        </w:rPr>
      </w:pPr>
      <w:r w:rsidRPr="0062622D">
        <w:rPr>
          <w:rFonts w:ascii="Bookman Old Style" w:hAnsi="Bookman Old Style"/>
          <w:b/>
          <w:color w:val="0371B9"/>
        </w:rPr>
        <w:t>WHAT IS OUTPUT TAX?</w:t>
      </w:r>
    </w:p>
    <w:p w:rsidR="006207E7" w:rsidRPr="0062622D" w:rsidRDefault="006207E7" w:rsidP="006207E7">
      <w:pPr>
        <w:spacing w:after="7" w:line="231" w:lineRule="auto"/>
        <w:rPr>
          <w:rFonts w:ascii="Bookman Old Style" w:hAnsi="Bookman Old Style"/>
        </w:rPr>
      </w:pPr>
    </w:p>
    <w:p w:rsidR="006207E7" w:rsidRPr="0062622D" w:rsidRDefault="006207E7" w:rsidP="006207E7">
      <w:pPr>
        <w:spacing w:after="379"/>
        <w:rPr>
          <w:rFonts w:ascii="Bookman Old Style" w:hAnsi="Bookman Old Style"/>
        </w:rPr>
      </w:pPr>
      <w:r w:rsidRPr="0062622D">
        <w:rPr>
          <w:rFonts w:ascii="Bookman Old Style" w:hAnsi="Bookman Old Style"/>
        </w:rPr>
        <w:t>This is the VAT charged on taxable supplies. When you are registered, you charge VAT on all the taxable supplies you make including imported taxable services. This VAT is your output tax.</w:t>
      </w:r>
    </w:p>
    <w:p w:rsidR="006207E7" w:rsidRPr="0062622D" w:rsidRDefault="006207E7" w:rsidP="006207E7">
      <w:pPr>
        <w:spacing w:after="240" w:line="231" w:lineRule="auto"/>
        <w:ind w:left="199"/>
        <w:rPr>
          <w:rFonts w:ascii="Bookman Old Style" w:hAnsi="Bookman Old Style"/>
        </w:rPr>
      </w:pPr>
      <w:r w:rsidRPr="0062622D">
        <w:rPr>
          <w:rFonts w:ascii="Bookman Old Style" w:hAnsi="Bookman Old Style"/>
          <w:b/>
          <w:color w:val="0371B9"/>
        </w:rPr>
        <w:t>WHAT OTHER TAXABLE SUPPLIES MAY BE LIABLE TO VAT?</w:t>
      </w:r>
    </w:p>
    <w:p w:rsidR="006207E7" w:rsidRPr="0062622D" w:rsidRDefault="006207E7" w:rsidP="006207E7">
      <w:pPr>
        <w:pStyle w:val="ListParagraph"/>
        <w:numPr>
          <w:ilvl w:val="0"/>
          <w:numId w:val="5"/>
        </w:numPr>
        <w:spacing w:after="112" w:line="232" w:lineRule="auto"/>
        <w:ind w:right="127"/>
        <w:jc w:val="both"/>
        <w:rPr>
          <w:rFonts w:ascii="Bookman Old Style" w:hAnsi="Bookman Old Style"/>
        </w:rPr>
      </w:pPr>
      <w:r w:rsidRPr="0062622D">
        <w:rPr>
          <w:rFonts w:ascii="Bookman Old Style" w:hAnsi="Bookman Old Style"/>
        </w:rPr>
        <w:t>Sales of business assets (e.g. equipment, furniture, commercial vehicles);</w:t>
      </w:r>
    </w:p>
    <w:p w:rsidR="006207E7" w:rsidRPr="0062622D" w:rsidRDefault="006207E7" w:rsidP="006207E7">
      <w:pPr>
        <w:pStyle w:val="ListParagraph"/>
        <w:numPr>
          <w:ilvl w:val="0"/>
          <w:numId w:val="5"/>
        </w:numPr>
        <w:spacing w:after="9" w:line="232" w:lineRule="auto"/>
        <w:ind w:right="127"/>
        <w:jc w:val="both"/>
        <w:rPr>
          <w:rFonts w:ascii="Bookman Old Style" w:hAnsi="Bookman Old Style"/>
        </w:rPr>
      </w:pPr>
      <w:r w:rsidRPr="0062622D">
        <w:rPr>
          <w:rFonts w:ascii="Bookman Old Style" w:hAnsi="Bookman Old Style"/>
        </w:rPr>
        <w:t>Hire or leasing/letting of goods to someone else for consideration;</w:t>
      </w:r>
    </w:p>
    <w:p w:rsidR="006207E7" w:rsidRPr="0062622D" w:rsidRDefault="006207E7" w:rsidP="006207E7">
      <w:pPr>
        <w:pStyle w:val="ListParagraph"/>
        <w:numPr>
          <w:ilvl w:val="0"/>
          <w:numId w:val="5"/>
        </w:numPr>
        <w:spacing w:after="215" w:line="232" w:lineRule="auto"/>
        <w:ind w:right="127"/>
        <w:jc w:val="both"/>
        <w:rPr>
          <w:rFonts w:ascii="Bookman Old Style" w:hAnsi="Bookman Old Style"/>
        </w:rPr>
      </w:pPr>
      <w:r w:rsidRPr="0062622D">
        <w:rPr>
          <w:rFonts w:ascii="Bookman Old Style" w:hAnsi="Bookman Old Style"/>
        </w:rPr>
        <w:t>Goods which you or your families have taken from the business for own use;</w:t>
      </w:r>
    </w:p>
    <w:p w:rsidR="006207E7" w:rsidRPr="0062622D" w:rsidRDefault="006207E7" w:rsidP="006207E7">
      <w:pPr>
        <w:pStyle w:val="ListParagraph"/>
        <w:numPr>
          <w:ilvl w:val="0"/>
          <w:numId w:val="5"/>
        </w:numPr>
        <w:spacing w:after="215" w:line="232" w:lineRule="auto"/>
        <w:ind w:right="127"/>
        <w:jc w:val="both"/>
        <w:rPr>
          <w:rFonts w:ascii="Bookman Old Style" w:hAnsi="Bookman Old Style"/>
        </w:rPr>
      </w:pPr>
      <w:r w:rsidRPr="0062622D">
        <w:rPr>
          <w:rFonts w:ascii="Bookman Old Style" w:hAnsi="Bookman Old Style"/>
        </w:rPr>
        <w:t>Commission received in return for selling something on behalf of someone elseprices);</w:t>
      </w:r>
    </w:p>
    <w:p w:rsidR="006207E7" w:rsidRPr="0062622D" w:rsidRDefault="006207E7" w:rsidP="006207E7">
      <w:pPr>
        <w:pStyle w:val="ListParagraph"/>
        <w:numPr>
          <w:ilvl w:val="0"/>
          <w:numId w:val="5"/>
        </w:numPr>
        <w:spacing w:after="215" w:line="232" w:lineRule="auto"/>
        <w:ind w:right="127"/>
        <w:jc w:val="both"/>
        <w:rPr>
          <w:rFonts w:ascii="Bookman Old Style" w:hAnsi="Bookman Old Style"/>
        </w:rPr>
      </w:pPr>
      <w:r w:rsidRPr="0062622D">
        <w:rPr>
          <w:rFonts w:ascii="Bookman Old Style" w:hAnsi="Bookman Old Style"/>
        </w:rPr>
        <w:t>Sales to your staff or relatives eg your products supplied free of charge or reduced cost.</w:t>
      </w:r>
    </w:p>
    <w:p w:rsidR="006207E7" w:rsidRPr="0062622D" w:rsidRDefault="006207E7" w:rsidP="006207E7">
      <w:pPr>
        <w:pStyle w:val="ListParagraph"/>
        <w:numPr>
          <w:ilvl w:val="0"/>
          <w:numId w:val="5"/>
        </w:numPr>
        <w:spacing w:after="215" w:line="232" w:lineRule="auto"/>
        <w:ind w:right="127"/>
        <w:jc w:val="both"/>
        <w:rPr>
          <w:rFonts w:ascii="Bookman Old Style" w:hAnsi="Bookman Old Style"/>
        </w:rPr>
      </w:pPr>
      <w:r w:rsidRPr="0062622D">
        <w:rPr>
          <w:rFonts w:ascii="Bookman Old Style" w:hAnsi="Bookman Old Style"/>
        </w:rPr>
        <w:t>Sales from vending machines;</w:t>
      </w:r>
    </w:p>
    <w:p w:rsidR="006207E7" w:rsidRPr="0062622D" w:rsidRDefault="006207E7" w:rsidP="006207E7">
      <w:pPr>
        <w:spacing w:after="240" w:line="231" w:lineRule="auto"/>
        <w:ind w:left="360"/>
        <w:rPr>
          <w:rFonts w:ascii="Bookman Old Style" w:hAnsi="Bookman Old Style"/>
          <w:b/>
          <w:color w:val="0371B9"/>
        </w:rPr>
      </w:pPr>
      <w:r w:rsidRPr="0062622D">
        <w:rPr>
          <w:rFonts w:ascii="Bookman Old Style" w:hAnsi="Bookman Old Style"/>
          <w:b/>
          <w:color w:val="0371B9"/>
        </w:rPr>
        <w:t>HOW DO I ACCOUNT FOR VAT IF NO MONEY IS PAID?</w:t>
      </w:r>
    </w:p>
    <w:p w:rsidR="006207E7" w:rsidRPr="0062622D" w:rsidRDefault="006207E7" w:rsidP="006207E7">
      <w:pPr>
        <w:spacing w:after="240" w:line="231" w:lineRule="auto"/>
        <w:ind w:left="360"/>
        <w:rPr>
          <w:rFonts w:ascii="Bookman Old Style" w:hAnsi="Bookman Old Style"/>
          <w:b/>
          <w:color w:val="0371B9"/>
        </w:rPr>
      </w:pPr>
      <w:r w:rsidRPr="0062622D">
        <w:rPr>
          <w:rFonts w:ascii="Bookman Old Style" w:hAnsi="Bookman Old Style"/>
        </w:rPr>
        <w:t>VAT on any goods or services where no money will be paid or received should be accounted for basing on the fair market value at the time the supply is made; e.g. barter trade, gifts, own use.</w:t>
      </w:r>
    </w:p>
    <w:p w:rsidR="006207E7" w:rsidRPr="0062622D" w:rsidRDefault="006207E7" w:rsidP="006207E7">
      <w:pPr>
        <w:spacing w:after="13" w:line="231" w:lineRule="auto"/>
        <w:ind w:left="-3" w:right="184"/>
        <w:rPr>
          <w:rFonts w:ascii="Bookman Old Style" w:hAnsi="Bookman Old Style"/>
          <w:b/>
          <w:color w:val="0371B9"/>
        </w:rPr>
      </w:pPr>
      <w:r w:rsidRPr="0062622D">
        <w:rPr>
          <w:rFonts w:ascii="Bookman Old Style" w:hAnsi="Bookman Old Style"/>
          <w:b/>
          <w:color w:val="0371B9"/>
        </w:rPr>
        <w:t>CAN I BE REGISTERED IF MY TURNOVER IS BELOW THE LIMIT I.E. VOLUNTARY REGISTRATION?</w:t>
      </w:r>
    </w:p>
    <w:p w:rsidR="006207E7" w:rsidRPr="0062622D" w:rsidRDefault="006207E7" w:rsidP="006207E7">
      <w:pPr>
        <w:spacing w:after="13" w:line="231" w:lineRule="auto"/>
        <w:ind w:left="-3" w:right="184"/>
        <w:rPr>
          <w:rFonts w:ascii="Bookman Old Style" w:hAnsi="Bookman Old Style"/>
        </w:rPr>
      </w:pPr>
    </w:p>
    <w:p w:rsidR="006207E7" w:rsidRPr="0062622D" w:rsidRDefault="006207E7" w:rsidP="006207E7">
      <w:pPr>
        <w:ind w:right="179"/>
        <w:jc w:val="both"/>
        <w:rPr>
          <w:rFonts w:ascii="Bookman Old Style" w:hAnsi="Bookman Old Style"/>
        </w:rPr>
      </w:pPr>
      <w:r w:rsidRPr="0062622D">
        <w:rPr>
          <w:rFonts w:ascii="Bookman Old Style" w:hAnsi="Bookman Old Style"/>
        </w:rPr>
        <w:t>Yes, if your taxa</w:t>
      </w:r>
      <w:r>
        <w:rPr>
          <w:rFonts w:ascii="Bookman Old Style" w:hAnsi="Bookman Old Style"/>
        </w:rPr>
        <w:t>ble turnover is below the 37. 5</w:t>
      </w:r>
      <w:r w:rsidRPr="0062622D">
        <w:rPr>
          <w:rFonts w:ascii="Bookman Old Style" w:hAnsi="Bookman Old Style"/>
        </w:rPr>
        <w:t>million limit in any 3 calendar months of business activity, you may apply for voluntary registration.  You will, however, have to satisfy the Commissioner General that you have a fixed place of abode, are able to keep proper books and a fit and proper person.</w:t>
      </w:r>
    </w:p>
    <w:p w:rsidR="006207E7" w:rsidRDefault="006207E7" w:rsidP="006207E7">
      <w:pPr>
        <w:ind w:right="180"/>
        <w:jc w:val="both"/>
        <w:rPr>
          <w:rFonts w:ascii="Bookman Old Style" w:hAnsi="Bookman Old Style"/>
        </w:rPr>
      </w:pPr>
      <w:r w:rsidRPr="0062622D">
        <w:rPr>
          <w:rFonts w:ascii="Bookman Old Style" w:hAnsi="Bookman Old Style"/>
        </w:rPr>
        <w:t>Voluntary registration is at the discretion of the Commissioner General. In case your application is rejected, you will be notified.</w:t>
      </w:r>
    </w:p>
    <w:p w:rsidR="006207E7" w:rsidRPr="0062622D" w:rsidRDefault="006207E7" w:rsidP="006207E7">
      <w:pPr>
        <w:ind w:right="180"/>
        <w:rPr>
          <w:rFonts w:ascii="Bookman Old Style" w:hAnsi="Bookman Old Style"/>
        </w:rPr>
      </w:pPr>
    </w:p>
    <w:p w:rsidR="006207E7" w:rsidRDefault="006207E7" w:rsidP="006207E7">
      <w:pPr>
        <w:spacing w:after="13" w:line="231" w:lineRule="auto"/>
        <w:ind w:left="-3" w:right="184"/>
        <w:rPr>
          <w:rFonts w:ascii="Bookman Old Style" w:hAnsi="Bookman Old Style"/>
          <w:b/>
          <w:color w:val="0371B9"/>
        </w:rPr>
      </w:pPr>
      <w:r w:rsidRPr="0062622D">
        <w:rPr>
          <w:rFonts w:ascii="Bookman Old Style" w:hAnsi="Bookman Old Style"/>
          <w:b/>
          <w:color w:val="0371B9"/>
        </w:rPr>
        <w:t>AFTER I HAVE BEEN REGISTERED FOR VAT, WHAT ARE MY OBLIGATIONS?</w:t>
      </w:r>
    </w:p>
    <w:p w:rsidR="006207E7" w:rsidRPr="0062622D" w:rsidRDefault="006207E7" w:rsidP="006207E7">
      <w:pPr>
        <w:spacing w:after="13" w:line="231" w:lineRule="auto"/>
        <w:ind w:left="-3" w:right="184"/>
        <w:rPr>
          <w:rFonts w:ascii="Bookman Old Style" w:hAnsi="Bookman Old Style"/>
          <w:b/>
          <w:color w:val="0371B9"/>
        </w:rPr>
      </w:pPr>
    </w:p>
    <w:p w:rsidR="006207E7" w:rsidRPr="0062622D" w:rsidRDefault="006207E7" w:rsidP="006207E7">
      <w:pPr>
        <w:pStyle w:val="ListParagraph"/>
        <w:numPr>
          <w:ilvl w:val="0"/>
          <w:numId w:val="6"/>
        </w:numPr>
        <w:ind w:right="180"/>
        <w:rPr>
          <w:rFonts w:ascii="Bookman Old Style" w:hAnsi="Bookman Old Style"/>
        </w:rPr>
      </w:pPr>
      <w:r w:rsidRPr="0062622D">
        <w:rPr>
          <w:rFonts w:ascii="Bookman Old Style" w:hAnsi="Bookman Old Style"/>
        </w:rPr>
        <w:t>Charge and Collect VAT on your supplies by issuing a tax invoice.</w:t>
      </w:r>
    </w:p>
    <w:p w:rsidR="006207E7" w:rsidRPr="0062622D" w:rsidRDefault="006207E7" w:rsidP="006207E7">
      <w:pPr>
        <w:pStyle w:val="ListParagraph"/>
        <w:numPr>
          <w:ilvl w:val="0"/>
          <w:numId w:val="6"/>
        </w:numPr>
        <w:ind w:right="180"/>
        <w:rPr>
          <w:rFonts w:ascii="Bookman Old Style" w:hAnsi="Bookman Old Style"/>
        </w:rPr>
      </w:pPr>
      <w:r w:rsidRPr="0062622D">
        <w:rPr>
          <w:rFonts w:ascii="Bookman Old Style" w:hAnsi="Bookman Old Style"/>
        </w:rPr>
        <w:t>To file a VAT return within 15 days after the end of the month</w:t>
      </w:r>
    </w:p>
    <w:p w:rsidR="006207E7" w:rsidRPr="0062622D" w:rsidRDefault="006207E7" w:rsidP="006207E7">
      <w:pPr>
        <w:pStyle w:val="ListParagraph"/>
        <w:numPr>
          <w:ilvl w:val="0"/>
          <w:numId w:val="6"/>
        </w:numPr>
        <w:ind w:right="180"/>
        <w:rPr>
          <w:rFonts w:ascii="Bookman Old Style" w:hAnsi="Bookman Old Style"/>
        </w:rPr>
      </w:pPr>
      <w:r w:rsidRPr="0062622D">
        <w:rPr>
          <w:rFonts w:ascii="Bookman Old Style" w:hAnsi="Bookman Old Style"/>
        </w:rPr>
        <w:t>Pay Vat due assessed in your return within 15 days after the end of the month.</w:t>
      </w:r>
    </w:p>
    <w:p w:rsidR="006207E7" w:rsidRDefault="006207E7" w:rsidP="006207E7">
      <w:pPr>
        <w:pStyle w:val="ListParagraph"/>
        <w:numPr>
          <w:ilvl w:val="0"/>
          <w:numId w:val="6"/>
        </w:numPr>
        <w:ind w:right="180"/>
        <w:rPr>
          <w:rFonts w:ascii="Bookman Old Style" w:hAnsi="Bookman Old Style"/>
        </w:rPr>
      </w:pPr>
      <w:r w:rsidRPr="0062622D">
        <w:rPr>
          <w:rFonts w:ascii="Bookman Old Style" w:hAnsi="Bookman Old Style"/>
        </w:rPr>
        <w:t>Avoid making reckless, false and misleading statements.</w:t>
      </w:r>
    </w:p>
    <w:p w:rsidR="006207E7" w:rsidRPr="0062622D" w:rsidRDefault="006207E7" w:rsidP="006207E7">
      <w:pPr>
        <w:pStyle w:val="ListParagraph"/>
        <w:ind w:right="180"/>
        <w:rPr>
          <w:rFonts w:ascii="Bookman Old Style" w:hAnsi="Bookman Old Style"/>
        </w:rPr>
      </w:pP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b/>
          <w:bCs/>
        </w:rPr>
        <w:t>VAT Deregistration</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This is the process of removing or cancelling a registered person from the VAT register.</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b/>
          <w:bCs/>
        </w:rPr>
        <w:t>Conditions for deregistration</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(i) When one ceases to make taxable supplies.</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This may occur when one changes the nature of business from taxable to exempt supplies or through legal re-categorization of supplies, from taxable to exempt e.g. road construction works changed from being taxable to exempt effective 1st July 2004. It can also be through winding up of business.</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(ii) Decline in turnover.</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This is a two-way test involving:</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 Taxable turnover excluding VAT in the last 3 months no longer exceeds 25% of the threshold (currently Shs 37.5 million); and</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 Taxable turnover excluding VAT in the last 12 months no longer exceeds 75% of the threshold (currently Shs 112.5 million).</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 xml:space="preserve">(iii) In the case of a taxpayer registered </w:t>
      </w:r>
      <w:r w:rsidRPr="0062622D">
        <w:rPr>
          <w:rFonts w:ascii="Bookman Old Style" w:eastAsia="Times New Roman" w:hAnsi="Bookman Old Style" w:cs="Times New Roman"/>
          <w:highlight w:val="yellow"/>
        </w:rPr>
        <w:t>voluntarily,</w:t>
      </w:r>
      <w:r w:rsidRPr="0062622D">
        <w:rPr>
          <w:rFonts w:ascii="Bookman Old Style" w:eastAsia="Times New Roman" w:hAnsi="Bookman Old Style" w:cs="Times New Roman"/>
        </w:rPr>
        <w:t xml:space="preserve"> deregistration can only be effected </w:t>
      </w:r>
      <w:r w:rsidRPr="0062622D">
        <w:rPr>
          <w:rFonts w:ascii="Bookman Old Style" w:eastAsia="Times New Roman" w:hAnsi="Bookman Old Style" w:cs="Times New Roman"/>
          <w:highlight w:val="yellow"/>
        </w:rPr>
        <w:t>after 2</w:t>
      </w:r>
      <w:r w:rsidRPr="0062622D">
        <w:rPr>
          <w:rFonts w:ascii="Bookman Old Style" w:eastAsia="Times New Roman" w:hAnsi="Bookman Old Style" w:cs="Times New Roman"/>
        </w:rPr>
        <w:t xml:space="preserve"> years from the date of registration.</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b/>
          <w:bCs/>
        </w:rPr>
        <w:t>Process of Deregistration</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 xml:space="preserve">(a) Application for </w:t>
      </w:r>
      <w:r w:rsidRPr="0062622D">
        <w:rPr>
          <w:rFonts w:ascii="Bookman Old Style" w:eastAsia="Times New Roman" w:hAnsi="Bookman Old Style" w:cs="Times New Roman"/>
          <w:highlight w:val="yellow"/>
        </w:rPr>
        <w:t>deregistration arises</w:t>
      </w:r>
      <w:r w:rsidRPr="0062622D">
        <w:rPr>
          <w:rFonts w:ascii="Bookman Old Style" w:eastAsia="Times New Roman" w:hAnsi="Bookman Old Style" w:cs="Times New Roman"/>
        </w:rPr>
        <w:t xml:space="preserve"> in two ways:</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(i) Upon application on in writing by the taxpayer.</w:t>
      </w:r>
    </w:p>
    <w:p w:rsidR="006207E7" w:rsidRPr="0062622D" w:rsidRDefault="006207E7" w:rsidP="006207E7">
      <w:pPr>
        <w:spacing w:after="150" w:line="240" w:lineRule="auto"/>
        <w:ind w:left="720"/>
        <w:jc w:val="both"/>
        <w:rPr>
          <w:rFonts w:ascii="Bookman Old Style" w:eastAsia="Times New Roman" w:hAnsi="Bookman Old Style" w:cs="Times New Roman"/>
        </w:rPr>
      </w:pPr>
      <w:r w:rsidRPr="0062622D">
        <w:rPr>
          <w:rFonts w:ascii="Bookman Old Style" w:eastAsia="Times New Roman" w:hAnsi="Bookman Old Style" w:cs="Times New Roman"/>
        </w:rPr>
        <w:t>(ii) On the Commissioner General initiative if (s)</w:t>
      </w:r>
      <w:r>
        <w:rPr>
          <w:rFonts w:ascii="Bookman Old Style" w:eastAsia="Times New Roman" w:hAnsi="Bookman Old Style" w:cs="Times New Roman"/>
        </w:rPr>
        <w:t xml:space="preserve"> </w:t>
      </w:r>
      <w:r w:rsidRPr="0062622D">
        <w:rPr>
          <w:rFonts w:ascii="Bookman Old Style" w:eastAsia="Times New Roman" w:hAnsi="Bookman Old Style" w:cs="Times New Roman"/>
        </w:rPr>
        <w:t>he is satisfied that the taxpayer was not required to apply for registration. This happens even if the taxpayer does not apply for it.</w:t>
      </w:r>
    </w:p>
    <w:p w:rsidR="006207E7" w:rsidRPr="0062622D" w:rsidRDefault="006207E7" w:rsidP="006207E7">
      <w:pPr>
        <w:spacing w:after="150" w:line="240" w:lineRule="auto"/>
        <w:ind w:left="720"/>
        <w:jc w:val="both"/>
        <w:rPr>
          <w:rFonts w:ascii="Bookman Old Style" w:eastAsia="Times New Roman" w:hAnsi="Bookman Old Style" w:cs="Times New Roman"/>
        </w:rPr>
      </w:pPr>
      <w:r w:rsidRPr="0062622D">
        <w:rPr>
          <w:rFonts w:ascii="Bookman Old Style" w:eastAsia="Times New Roman" w:hAnsi="Bookman Old Style" w:cs="Times New Roman"/>
        </w:rPr>
        <w:t>(b) The Commissioner General may initiate deregistration under the following circumstances:</w:t>
      </w:r>
    </w:p>
    <w:p w:rsidR="006207E7" w:rsidRPr="0062622D" w:rsidRDefault="006207E7" w:rsidP="006207E7">
      <w:pPr>
        <w:spacing w:after="150" w:line="240" w:lineRule="auto"/>
        <w:ind w:left="720"/>
        <w:jc w:val="both"/>
        <w:rPr>
          <w:rFonts w:ascii="Bookman Old Style" w:eastAsia="Times New Roman" w:hAnsi="Bookman Old Style" w:cs="Times New Roman"/>
        </w:rPr>
      </w:pPr>
      <w:r w:rsidRPr="0062622D">
        <w:rPr>
          <w:rFonts w:ascii="Bookman Old Style" w:eastAsia="Times New Roman" w:hAnsi="Bookman Old Style" w:cs="Times New Roman"/>
        </w:rPr>
        <w:t>(i) When the taxpayer has no fixed p lace of abode or business premises.</w:t>
      </w:r>
    </w:p>
    <w:p w:rsidR="006207E7" w:rsidRPr="0062622D" w:rsidRDefault="006207E7" w:rsidP="006207E7">
      <w:pPr>
        <w:spacing w:after="150" w:line="240" w:lineRule="auto"/>
        <w:ind w:left="720"/>
        <w:jc w:val="both"/>
        <w:rPr>
          <w:rFonts w:ascii="Bookman Old Style" w:eastAsia="Times New Roman" w:hAnsi="Bookman Old Style" w:cs="Times New Roman"/>
        </w:rPr>
      </w:pPr>
      <w:r w:rsidRPr="0062622D">
        <w:rPr>
          <w:rFonts w:ascii="Bookman Old Style" w:eastAsia="Times New Roman" w:hAnsi="Bookman Old Style" w:cs="Times New Roman"/>
        </w:rPr>
        <w:t>(ii) The taxpayer has no payer has no proper accounting/ business records for the business carried on.</w:t>
      </w:r>
    </w:p>
    <w:p w:rsidR="006207E7" w:rsidRPr="0062622D" w:rsidRDefault="006207E7" w:rsidP="006207E7">
      <w:pPr>
        <w:spacing w:after="150" w:line="240" w:lineRule="auto"/>
        <w:ind w:left="720"/>
        <w:jc w:val="both"/>
        <w:rPr>
          <w:rFonts w:ascii="Bookman Old Style" w:eastAsia="Times New Roman" w:hAnsi="Bookman Old Style" w:cs="Times New Roman"/>
        </w:rPr>
      </w:pPr>
      <w:r w:rsidRPr="0062622D">
        <w:rPr>
          <w:rFonts w:ascii="Bookman Old Style" w:eastAsia="Times New Roman" w:hAnsi="Bookman Old Style" w:cs="Times New Roman"/>
        </w:rPr>
        <w:t>(iii) The taxpayer does not submit regular and reliable tax returns.</w:t>
      </w:r>
    </w:p>
    <w:p w:rsidR="006207E7" w:rsidRPr="0062622D" w:rsidRDefault="006207E7" w:rsidP="006207E7">
      <w:pPr>
        <w:spacing w:after="150" w:line="240" w:lineRule="auto"/>
        <w:ind w:left="720"/>
        <w:jc w:val="both"/>
        <w:rPr>
          <w:rFonts w:ascii="Bookman Old Style" w:eastAsia="Times New Roman" w:hAnsi="Bookman Old Style" w:cs="Times New Roman"/>
        </w:rPr>
      </w:pPr>
      <w:r w:rsidRPr="0062622D">
        <w:rPr>
          <w:rFonts w:ascii="Bookman Old Style" w:eastAsia="Times New Roman" w:hAnsi="Bookman Old Style" w:cs="Times New Roman"/>
        </w:rPr>
        <w:t>(iv) The taxpayer is not fit and proper in the opinion of the Commissioner General.</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 xml:space="preserve">Effective date of deregistration Cancellation of registration takes effect at the end of the period (month) in which </w:t>
      </w:r>
      <w:r w:rsidRPr="0062622D">
        <w:rPr>
          <w:rFonts w:ascii="Bookman Old Style" w:eastAsia="Times New Roman" w:hAnsi="Bookman Old Style" w:cs="Times New Roman"/>
          <w:highlight w:val="yellow"/>
        </w:rPr>
        <w:t>the deregistration e.g. if</w:t>
      </w:r>
      <w:r w:rsidRPr="0062622D">
        <w:rPr>
          <w:rFonts w:ascii="Bookman Old Style" w:eastAsia="Times New Roman" w:hAnsi="Bookman Old Style" w:cs="Times New Roman"/>
        </w:rPr>
        <w:t xml:space="preserve"> the decision to deregister is on March 2016, deregistration will be effective on 20th March 2016.</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b/>
          <w:bCs/>
        </w:rPr>
        <w:t>Obligations at date of Deregistration</w:t>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Where input tax has been claimed on goods in stock, including capital goods, the deregistered person is liable to VAT on the market value of such goods still in stock.</w:t>
      </w:r>
    </w:p>
    <w:p w:rsidR="006207E7" w:rsidRPr="0062622D" w:rsidRDefault="006207E7" w:rsidP="006207E7">
      <w:pPr>
        <w:spacing w:after="0" w:line="240" w:lineRule="auto"/>
        <w:jc w:val="both"/>
        <w:rPr>
          <w:rFonts w:ascii="Bookman Old Style" w:eastAsia="Times New Roman" w:hAnsi="Bookman Old Style" w:cs="Times New Roman"/>
        </w:rPr>
      </w:pPr>
      <w:r w:rsidRPr="0062622D">
        <w:rPr>
          <w:rFonts w:ascii="Bookman Old Style" w:eastAsia="Times New Roman" w:hAnsi="Bookman Old Style" w:cs="Arial"/>
          <w:b/>
          <w:bCs/>
          <w:color w:val="373A41"/>
        </w:rPr>
        <w:t>Gaming and Pool Betting</w:t>
      </w:r>
    </w:p>
    <w:p w:rsidR="006207E7" w:rsidRDefault="006207E7" w:rsidP="006207E7">
      <w:pPr>
        <w:spacing w:after="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Gaming and Pools should only be carried on by persons holding licenses. Licenses are issued by the Minister responsible for Finance or persons authorized by the Minister responsible for finance, who are defined as The Treasury. Statutory Instrument 292-1 (The Gaming and Pool Betting) (Control and Taxation) Regulations are specific that the application for a license is made to the Secretary to Treasury who also has powers over; Audit, Returns and Payment of Tax. However, in practi</w:t>
      </w:r>
      <w:r>
        <w:rPr>
          <w:rFonts w:ascii="Bookman Old Style" w:eastAsia="Times New Roman" w:hAnsi="Bookman Old Style" w:cs="Times New Roman"/>
        </w:rPr>
        <w:t xml:space="preserve">ce the taxes are paid to Uganda </w:t>
      </w:r>
      <w:r w:rsidRPr="0062622D">
        <w:rPr>
          <w:rFonts w:ascii="Bookman Old Style" w:eastAsia="Times New Roman" w:hAnsi="Bookman Old Style" w:cs="Times New Roman"/>
        </w:rPr>
        <w:t>Revenue Authority.</w:t>
      </w:r>
    </w:p>
    <w:p w:rsidR="006207E7" w:rsidRPr="0062622D" w:rsidRDefault="006207E7" w:rsidP="006207E7">
      <w:pPr>
        <w:spacing w:after="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br/>
        <w:t>Statutory Instrument 292-2 provides for license fees to be payable annually as follows;</w:t>
      </w:r>
    </w:p>
    <w:p w:rsidR="006207E7" w:rsidRDefault="006207E7" w:rsidP="006207E7">
      <w:pPr>
        <w:spacing w:after="0" w:line="240" w:lineRule="auto"/>
        <w:jc w:val="both"/>
        <w:rPr>
          <w:rFonts w:ascii="Bookman Old Style" w:eastAsia="Times New Roman" w:hAnsi="Bookman Old Style" w:cs="Times New Roman"/>
        </w:rPr>
      </w:pPr>
    </w:p>
    <w:tbl>
      <w:tblPr>
        <w:tblW w:w="8745" w:type="dxa"/>
        <w:tblInd w:w="93" w:type="dxa"/>
        <w:tblLook w:val="04A0" w:firstRow="1" w:lastRow="0" w:firstColumn="1" w:lastColumn="0" w:noHBand="0" w:noVBand="1"/>
      </w:tblPr>
      <w:tblGrid>
        <w:gridCol w:w="5580"/>
        <w:gridCol w:w="3165"/>
      </w:tblGrid>
      <w:tr w:rsidR="006207E7" w:rsidRPr="00B76F3D" w:rsidTr="004B1BAB">
        <w:trPr>
          <w:trHeight w:val="270"/>
        </w:trPr>
        <w:tc>
          <w:tcPr>
            <w:tcW w:w="5580" w:type="dxa"/>
            <w:tcBorders>
              <w:top w:val="single" w:sz="8" w:space="0" w:color="auto"/>
              <w:left w:val="single" w:sz="8" w:space="0" w:color="auto"/>
              <w:bottom w:val="single" w:sz="8" w:space="0" w:color="auto"/>
              <w:right w:val="single" w:sz="8" w:space="0" w:color="auto"/>
            </w:tcBorders>
            <w:shd w:val="clear" w:color="000000" w:fill="005594"/>
            <w:vAlign w:val="center"/>
            <w:hideMark/>
          </w:tcPr>
          <w:p w:rsidR="006207E7" w:rsidRPr="00B76F3D" w:rsidRDefault="006207E7" w:rsidP="004B1BAB">
            <w:pPr>
              <w:spacing w:after="0" w:line="240" w:lineRule="auto"/>
              <w:jc w:val="both"/>
              <w:rPr>
                <w:rFonts w:ascii="Times New Roman" w:eastAsia="Times New Roman" w:hAnsi="Times New Roman" w:cs="Times New Roman"/>
                <w:color w:val="FFFFFF"/>
              </w:rPr>
            </w:pPr>
            <w:r w:rsidRPr="00B76F3D">
              <w:rPr>
                <w:rFonts w:ascii="Times New Roman" w:eastAsia="Times New Roman" w:hAnsi="Times New Roman" w:cs="Times New Roman"/>
                <w:color w:val="FFFFFF"/>
              </w:rPr>
              <w:t>​</w:t>
            </w:r>
            <w:r w:rsidRPr="00B76F3D">
              <w:rPr>
                <w:rFonts w:ascii="Bookman Old Style" w:eastAsia="Times New Roman" w:hAnsi="Bookman Old Style" w:cs="Times New Roman"/>
                <w:b/>
                <w:bCs/>
                <w:color w:val="FFFFFF"/>
              </w:rPr>
              <w:t>Type of license or registration</w:t>
            </w:r>
          </w:p>
        </w:tc>
        <w:tc>
          <w:tcPr>
            <w:tcW w:w="3165" w:type="dxa"/>
            <w:tcBorders>
              <w:top w:val="single" w:sz="8" w:space="0" w:color="auto"/>
              <w:left w:val="nil"/>
              <w:bottom w:val="single" w:sz="8" w:space="0" w:color="auto"/>
              <w:right w:val="single" w:sz="8" w:space="0" w:color="auto"/>
            </w:tcBorders>
            <w:shd w:val="clear" w:color="000000" w:fill="005594"/>
            <w:vAlign w:val="center"/>
            <w:hideMark/>
          </w:tcPr>
          <w:p w:rsidR="006207E7" w:rsidRPr="00B76F3D" w:rsidRDefault="006207E7" w:rsidP="004B1BAB">
            <w:pPr>
              <w:spacing w:after="0" w:line="240" w:lineRule="auto"/>
              <w:jc w:val="both"/>
              <w:rPr>
                <w:rFonts w:ascii="Times New Roman" w:eastAsia="Times New Roman" w:hAnsi="Times New Roman" w:cs="Times New Roman"/>
                <w:color w:val="FFFFFF"/>
              </w:rPr>
            </w:pPr>
            <w:r w:rsidRPr="00B76F3D">
              <w:rPr>
                <w:rFonts w:ascii="Times New Roman" w:eastAsia="Times New Roman" w:hAnsi="Times New Roman" w:cs="Times New Roman"/>
                <w:color w:val="FFFFFF"/>
              </w:rPr>
              <w:t>​</w:t>
            </w:r>
            <w:r w:rsidRPr="00B76F3D">
              <w:rPr>
                <w:rFonts w:ascii="Bookman Old Style" w:eastAsia="Times New Roman" w:hAnsi="Bookman Old Style" w:cs="Times New Roman"/>
                <w:b/>
                <w:bCs/>
                <w:color w:val="FFFFFF"/>
              </w:rPr>
              <w:t>Amount in shillings</w:t>
            </w:r>
          </w:p>
        </w:tc>
      </w:tr>
      <w:tr w:rsidR="006207E7" w:rsidRPr="00B76F3D" w:rsidTr="004B1BAB">
        <w:trPr>
          <w:trHeight w:val="435"/>
        </w:trPr>
        <w:tc>
          <w:tcPr>
            <w:tcW w:w="5580" w:type="dxa"/>
            <w:tcBorders>
              <w:top w:val="nil"/>
              <w:left w:val="single" w:sz="8" w:space="0" w:color="auto"/>
              <w:bottom w:val="single" w:sz="8" w:space="0" w:color="auto"/>
              <w:right w:val="single" w:sz="8" w:space="0" w:color="auto"/>
            </w:tcBorders>
            <w:shd w:val="clear" w:color="000000" w:fill="C0E4FF"/>
            <w:vAlign w:val="center"/>
            <w:hideMark/>
          </w:tcPr>
          <w:p w:rsidR="006207E7" w:rsidRPr="00B76F3D" w:rsidRDefault="006207E7" w:rsidP="004B1BAB">
            <w:pPr>
              <w:spacing w:after="0" w:line="240" w:lineRule="auto"/>
              <w:jc w:val="both"/>
              <w:rPr>
                <w:rFonts w:ascii="Times New Roman" w:eastAsia="Times New Roman" w:hAnsi="Times New Roman" w:cs="Times New Roman"/>
                <w:color w:val="000000"/>
              </w:rPr>
            </w:pPr>
            <w:r w:rsidRPr="00B76F3D">
              <w:rPr>
                <w:rFonts w:ascii="Times New Roman" w:eastAsia="Times New Roman" w:hAnsi="Times New Roman" w:cs="Times New Roman"/>
                <w:color w:val="000000"/>
              </w:rPr>
              <w:t>​</w:t>
            </w:r>
            <w:r w:rsidRPr="00B76F3D">
              <w:rPr>
                <w:rFonts w:ascii="Bookman Old Style" w:eastAsia="Times New Roman" w:hAnsi="Bookman Old Style" w:cs="Times New Roman"/>
                <w:color w:val="000000"/>
              </w:rPr>
              <w:t>Casino- promoter, principal agent or agent</w:t>
            </w:r>
          </w:p>
        </w:tc>
        <w:tc>
          <w:tcPr>
            <w:tcW w:w="3165" w:type="dxa"/>
            <w:tcBorders>
              <w:top w:val="nil"/>
              <w:left w:val="nil"/>
              <w:bottom w:val="single" w:sz="8" w:space="0" w:color="auto"/>
              <w:right w:val="single" w:sz="8" w:space="0" w:color="auto"/>
            </w:tcBorders>
            <w:shd w:val="clear" w:color="000000" w:fill="C0E4FF"/>
            <w:vAlign w:val="center"/>
            <w:hideMark/>
          </w:tcPr>
          <w:p w:rsidR="006207E7" w:rsidRPr="00B76F3D" w:rsidRDefault="006207E7" w:rsidP="004B1BAB">
            <w:pPr>
              <w:spacing w:after="0" w:line="240" w:lineRule="auto"/>
              <w:jc w:val="both"/>
              <w:rPr>
                <w:rFonts w:ascii="Times New Roman" w:eastAsia="Times New Roman" w:hAnsi="Times New Roman" w:cs="Times New Roman"/>
                <w:color w:val="000000"/>
              </w:rPr>
            </w:pPr>
            <w:r w:rsidRPr="00B76F3D">
              <w:rPr>
                <w:rFonts w:ascii="Times New Roman" w:eastAsia="Times New Roman" w:hAnsi="Times New Roman" w:cs="Times New Roman"/>
                <w:color w:val="000000"/>
              </w:rPr>
              <w:t>​</w:t>
            </w:r>
            <w:r w:rsidRPr="00B76F3D">
              <w:rPr>
                <w:rFonts w:ascii="Bookman Old Style" w:eastAsia="Times New Roman" w:hAnsi="Bookman Old Style" w:cs="Times New Roman"/>
                <w:color w:val="000000"/>
              </w:rPr>
              <w:t>3,000,000</w:t>
            </w:r>
          </w:p>
        </w:tc>
      </w:tr>
      <w:tr w:rsidR="006207E7" w:rsidRPr="00B76F3D" w:rsidTr="004B1BAB">
        <w:trPr>
          <w:trHeight w:val="6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207E7" w:rsidRPr="00B76F3D" w:rsidRDefault="006207E7" w:rsidP="004B1BAB">
            <w:pPr>
              <w:spacing w:after="0" w:line="240" w:lineRule="auto"/>
              <w:jc w:val="both"/>
              <w:rPr>
                <w:rFonts w:ascii="Times New Roman" w:eastAsia="Times New Roman" w:hAnsi="Times New Roman" w:cs="Times New Roman"/>
                <w:color w:val="000000"/>
              </w:rPr>
            </w:pPr>
            <w:r w:rsidRPr="00B76F3D">
              <w:rPr>
                <w:rFonts w:ascii="Times New Roman" w:eastAsia="Times New Roman" w:hAnsi="Times New Roman" w:cs="Times New Roman"/>
                <w:color w:val="000000"/>
              </w:rPr>
              <w:t>​​</w:t>
            </w:r>
            <w:r w:rsidRPr="00B76F3D">
              <w:rPr>
                <w:rFonts w:ascii="Bookman Old Style" w:eastAsia="Times New Roman" w:hAnsi="Bookman Old Style" w:cs="Times New Roman"/>
                <w:color w:val="000000"/>
              </w:rPr>
              <w:t>Gaming and pool betting operator- promoter, principal agent or agent</w:t>
            </w:r>
          </w:p>
        </w:tc>
        <w:tc>
          <w:tcPr>
            <w:tcW w:w="3165" w:type="dxa"/>
            <w:tcBorders>
              <w:top w:val="nil"/>
              <w:left w:val="nil"/>
              <w:bottom w:val="single" w:sz="8" w:space="0" w:color="auto"/>
              <w:right w:val="single" w:sz="8" w:space="0" w:color="auto"/>
            </w:tcBorders>
            <w:shd w:val="clear" w:color="auto" w:fill="auto"/>
            <w:vAlign w:val="center"/>
            <w:hideMark/>
          </w:tcPr>
          <w:p w:rsidR="006207E7" w:rsidRPr="00B76F3D" w:rsidRDefault="006207E7" w:rsidP="004B1BAB">
            <w:pPr>
              <w:spacing w:after="0" w:line="240" w:lineRule="auto"/>
              <w:jc w:val="both"/>
              <w:rPr>
                <w:rFonts w:ascii="Times New Roman" w:eastAsia="Times New Roman" w:hAnsi="Times New Roman" w:cs="Times New Roman"/>
                <w:color w:val="000000"/>
              </w:rPr>
            </w:pPr>
            <w:r w:rsidRPr="00B76F3D">
              <w:rPr>
                <w:rFonts w:ascii="Times New Roman" w:eastAsia="Times New Roman" w:hAnsi="Times New Roman" w:cs="Times New Roman"/>
                <w:color w:val="000000"/>
              </w:rPr>
              <w:t>​</w:t>
            </w:r>
            <w:r w:rsidRPr="00B76F3D">
              <w:rPr>
                <w:rFonts w:ascii="Bookman Old Style" w:eastAsia="Times New Roman" w:hAnsi="Bookman Old Style" w:cs="Times New Roman"/>
                <w:color w:val="000000"/>
              </w:rPr>
              <w:t>1,000,000</w:t>
            </w:r>
          </w:p>
        </w:tc>
      </w:tr>
      <w:tr w:rsidR="006207E7" w:rsidRPr="00B76F3D" w:rsidTr="004B1BAB">
        <w:trPr>
          <w:trHeight w:val="525"/>
        </w:trPr>
        <w:tc>
          <w:tcPr>
            <w:tcW w:w="5580" w:type="dxa"/>
            <w:tcBorders>
              <w:top w:val="nil"/>
              <w:left w:val="single" w:sz="8" w:space="0" w:color="auto"/>
              <w:bottom w:val="single" w:sz="8" w:space="0" w:color="auto"/>
              <w:right w:val="single" w:sz="8" w:space="0" w:color="auto"/>
            </w:tcBorders>
            <w:shd w:val="clear" w:color="000000" w:fill="C0E4FF"/>
            <w:vAlign w:val="center"/>
            <w:hideMark/>
          </w:tcPr>
          <w:p w:rsidR="006207E7" w:rsidRPr="00B76F3D" w:rsidRDefault="006207E7" w:rsidP="004B1BAB">
            <w:pPr>
              <w:spacing w:after="0" w:line="240" w:lineRule="auto"/>
              <w:jc w:val="both"/>
              <w:rPr>
                <w:rFonts w:ascii="Times New Roman" w:eastAsia="Times New Roman" w:hAnsi="Times New Roman" w:cs="Times New Roman"/>
                <w:color w:val="000000"/>
              </w:rPr>
            </w:pPr>
            <w:r w:rsidRPr="00B76F3D">
              <w:rPr>
                <w:rFonts w:ascii="Times New Roman" w:eastAsia="Times New Roman" w:hAnsi="Times New Roman" w:cs="Times New Roman"/>
                <w:color w:val="000000"/>
              </w:rPr>
              <w:t>​</w:t>
            </w:r>
            <w:r w:rsidRPr="00B76F3D">
              <w:rPr>
                <w:rFonts w:ascii="Bookman Old Style" w:eastAsia="Times New Roman" w:hAnsi="Bookman Old Style" w:cs="Times New Roman"/>
                <w:color w:val="000000"/>
              </w:rPr>
              <w:t>license for a gaming and pool betting branch</w:t>
            </w:r>
          </w:p>
        </w:tc>
        <w:tc>
          <w:tcPr>
            <w:tcW w:w="3165" w:type="dxa"/>
            <w:tcBorders>
              <w:top w:val="nil"/>
              <w:left w:val="nil"/>
              <w:bottom w:val="single" w:sz="8" w:space="0" w:color="auto"/>
              <w:right w:val="single" w:sz="8" w:space="0" w:color="auto"/>
            </w:tcBorders>
            <w:shd w:val="clear" w:color="000000" w:fill="C0E4FF"/>
            <w:vAlign w:val="center"/>
            <w:hideMark/>
          </w:tcPr>
          <w:p w:rsidR="006207E7" w:rsidRPr="00B76F3D" w:rsidRDefault="006207E7" w:rsidP="004B1BAB">
            <w:pPr>
              <w:spacing w:after="0" w:line="240" w:lineRule="auto"/>
              <w:jc w:val="both"/>
              <w:rPr>
                <w:rFonts w:ascii="Times New Roman" w:eastAsia="Times New Roman" w:hAnsi="Times New Roman" w:cs="Times New Roman"/>
                <w:color w:val="000000"/>
              </w:rPr>
            </w:pPr>
            <w:r w:rsidRPr="00B76F3D">
              <w:rPr>
                <w:rFonts w:ascii="Times New Roman" w:eastAsia="Times New Roman" w:hAnsi="Times New Roman" w:cs="Times New Roman"/>
                <w:color w:val="000000"/>
              </w:rPr>
              <w:t>​</w:t>
            </w:r>
            <w:r w:rsidRPr="00B76F3D">
              <w:rPr>
                <w:rFonts w:ascii="Bookman Old Style" w:eastAsia="Times New Roman" w:hAnsi="Bookman Old Style" w:cs="Times New Roman"/>
                <w:color w:val="000000"/>
              </w:rPr>
              <w:t>100,000</w:t>
            </w:r>
          </w:p>
        </w:tc>
      </w:tr>
    </w:tbl>
    <w:p w:rsidR="006207E7" w:rsidRPr="0062622D" w:rsidRDefault="006207E7" w:rsidP="006207E7">
      <w:pPr>
        <w:spacing w:after="0" w:line="240" w:lineRule="auto"/>
        <w:jc w:val="both"/>
        <w:rPr>
          <w:rFonts w:ascii="Bookman Old Style" w:eastAsia="Times New Roman" w:hAnsi="Bookman Old Style" w:cs="Times New Roman"/>
        </w:rPr>
      </w:pPr>
    </w:p>
    <w:p w:rsidR="006207E7" w:rsidRPr="0062622D" w:rsidRDefault="006207E7" w:rsidP="006207E7">
      <w:pPr>
        <w:spacing w:after="0" w:line="240" w:lineRule="auto"/>
        <w:rPr>
          <w:rFonts w:ascii="Bookman Old Style" w:eastAsia="Times New Roman" w:hAnsi="Bookman Old Style" w:cs="Times New Roman"/>
        </w:rPr>
      </w:pPr>
      <w:r w:rsidRPr="0062622D">
        <w:rPr>
          <w:rFonts w:ascii="Bookman Old Style" w:eastAsia="Times New Roman" w:hAnsi="Bookman Old Style" w:cs="Times New Roman"/>
        </w:rPr>
        <w:t>The Promoter or Agent is exempt from the above licenses if he holds an investment license from the Uganda Investment Authority (Statutory Instrument 292-3).</w:t>
      </w:r>
      <w:r w:rsidRPr="0062622D">
        <w:rPr>
          <w:rFonts w:ascii="Bookman Old Style" w:eastAsia="Times New Roman" w:hAnsi="Bookman Old Style" w:cs="Times New Roman"/>
        </w:rPr>
        <w:br/>
        <w:t>The licenses are issued to:</w:t>
      </w:r>
    </w:p>
    <w:p w:rsidR="006207E7" w:rsidRPr="0062622D" w:rsidRDefault="006207E7" w:rsidP="006207E7">
      <w:pPr>
        <w:spacing w:after="0" w:line="240" w:lineRule="auto"/>
        <w:ind w:left="1440"/>
        <w:rPr>
          <w:rFonts w:ascii="Bookman Old Style" w:eastAsia="Times New Roman" w:hAnsi="Bookman Old Style" w:cs="Times New Roman"/>
        </w:rPr>
      </w:pPr>
      <w:r w:rsidRPr="0062622D">
        <w:rPr>
          <w:rFonts w:ascii="Bookman Old Style" w:eastAsia="Times New Roman" w:hAnsi="Bookman Old Style" w:cs="Times New Roman"/>
        </w:rPr>
        <w:br/>
        <w:t>i.</w:t>
      </w:r>
      <w:r>
        <w:rPr>
          <w:rFonts w:ascii="Bookman Old Style" w:eastAsia="Times New Roman" w:hAnsi="Bookman Old Style" w:cs="Times New Roman"/>
        </w:rPr>
        <w:t xml:space="preserve"> </w:t>
      </w:r>
      <w:r w:rsidRPr="0062622D">
        <w:rPr>
          <w:rFonts w:ascii="Bookman Old Style" w:eastAsia="Times New Roman" w:hAnsi="Bookman Old Style" w:cs="Times New Roman"/>
        </w:rPr>
        <w:t>Promoters- Promoting GPB in Uganda</w:t>
      </w:r>
      <w:r w:rsidRPr="0062622D">
        <w:rPr>
          <w:rFonts w:ascii="Bookman Old Style" w:eastAsia="Times New Roman" w:hAnsi="Bookman Old Style" w:cs="Times New Roman"/>
        </w:rPr>
        <w:br/>
        <w:t>ii. Principal Agents- Agent in Uganda of a promoter of GPB outside Uganda.</w:t>
      </w:r>
      <w:r w:rsidRPr="0062622D">
        <w:rPr>
          <w:rFonts w:ascii="Bookman Old Style" w:eastAsia="Times New Roman" w:hAnsi="Bookman Old Style" w:cs="Times New Roman"/>
        </w:rPr>
        <w:br/>
        <w:t>iii. Agent- Agent of either the promoter of GPB in Uganda or Agent of a principal Agent of a foreign promoter.</w:t>
      </w:r>
    </w:p>
    <w:p w:rsidR="006207E7" w:rsidRPr="0062622D" w:rsidRDefault="006207E7" w:rsidP="006207E7">
      <w:pPr>
        <w:spacing w:after="0" w:line="240" w:lineRule="auto"/>
        <w:rPr>
          <w:rFonts w:ascii="Bookman Old Style" w:eastAsia="Times New Roman" w:hAnsi="Bookman Old Style" w:cs="Times New Roman"/>
        </w:rPr>
      </w:pPr>
      <w:r w:rsidRPr="0062622D">
        <w:rPr>
          <w:rFonts w:ascii="Bookman Old Style" w:eastAsia="Times New Roman" w:hAnsi="Bookman Old Style" w:cs="Times New Roman"/>
        </w:rPr>
        <w:br/>
        <w:t>The license therefore is a pre-registration activity. </w:t>
      </w:r>
    </w:p>
    <w:p w:rsidR="006207E7" w:rsidRPr="0062622D" w:rsidRDefault="006207E7" w:rsidP="006207E7">
      <w:pPr>
        <w:spacing w:after="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 </w:t>
      </w:r>
    </w:p>
    <w:p w:rsidR="006207E7" w:rsidRPr="0062622D" w:rsidRDefault="006207E7" w:rsidP="006207E7">
      <w:pPr>
        <w:spacing w:after="0" w:line="240" w:lineRule="auto"/>
        <w:rPr>
          <w:rFonts w:ascii="Bookman Old Style" w:eastAsia="Times New Roman" w:hAnsi="Bookman Old Style" w:cs="Times New Roman"/>
          <w:b/>
          <w:bCs/>
          <w:color w:val="444444"/>
        </w:rPr>
      </w:pPr>
      <w:r w:rsidRPr="0062622D">
        <w:rPr>
          <w:rFonts w:ascii="Bookman Old Style" w:eastAsia="Times New Roman" w:hAnsi="Bookman Old Style" w:cs="Times New Roman"/>
          <w:b/>
          <w:bCs/>
          <w:color w:val="444444"/>
        </w:rPr>
        <w:t>Local Excise Duty</w:t>
      </w:r>
    </w:p>
    <w:p w:rsidR="006207E7" w:rsidRPr="0062622D" w:rsidRDefault="006207E7" w:rsidP="006207E7">
      <w:pPr>
        <w:spacing w:after="0" w:line="240" w:lineRule="auto"/>
        <w:jc w:val="both"/>
        <w:rPr>
          <w:rFonts w:ascii="Bookman Old Style" w:eastAsia="Times New Roman" w:hAnsi="Bookman Old Style" w:cs="Times New Roman"/>
        </w:rPr>
      </w:pPr>
      <w:r w:rsidRPr="0062622D">
        <w:rPr>
          <w:rFonts w:ascii="Bookman Old Style" w:eastAsia="Times New Roman" w:hAnsi="Bookman Old Style" w:cs="Times New Roman"/>
          <w:color w:val="444444"/>
        </w:rPr>
        <w:br/>
        <w:t>Registration for Local Excise Duty is only applicable to taxpayers who deal in or manufacturing excisable goods and those dealing in excisable services.</w:t>
      </w:r>
      <w:r w:rsidRPr="0062622D">
        <w:rPr>
          <w:rFonts w:ascii="Bookman Old Style" w:eastAsia="Times New Roman" w:hAnsi="Bookman Old Style" w:cs="Times New Roman"/>
          <w:color w:val="444444"/>
        </w:rPr>
        <w:br/>
        <w:t>The taxpayers include manufacturers of; beer, wines, spirits, sodas, juices, mineral water, cigarettes, fuel, cement, sugar and service providers o</w:t>
      </w:r>
      <w:r>
        <w:rPr>
          <w:rFonts w:ascii="Bookman Old Style" w:eastAsia="Times New Roman" w:hAnsi="Bookman Old Style" w:cs="Times New Roman"/>
          <w:color w:val="444444"/>
        </w:rPr>
        <w:t>f airtime on cellular, landline and payphones.</w:t>
      </w:r>
      <w:r w:rsidRPr="0062622D">
        <w:rPr>
          <w:rFonts w:ascii="Bookman Old Style" w:eastAsia="Times New Roman" w:hAnsi="Bookman Old Style" w:cs="Times New Roman"/>
          <w:color w:val="444444"/>
        </w:rPr>
        <w:t xml:space="preserve"> The law on Local Excise duty is that the taxpayer first obtains a license before dealing in Excisable goods or services. Local Excise duty registration is therefore compulsory as long as one falls within the EAEMA and the ETA provisions.</w:t>
      </w:r>
    </w:p>
    <w:p w:rsidR="006207E7" w:rsidRPr="0062622D" w:rsidRDefault="006207E7" w:rsidP="006207E7">
      <w:pPr>
        <w:spacing w:after="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t> </w:t>
      </w:r>
    </w:p>
    <w:p w:rsidR="006207E7" w:rsidRPr="0062622D" w:rsidRDefault="006207E7" w:rsidP="006207E7">
      <w:pPr>
        <w:spacing w:after="0" w:line="240" w:lineRule="auto"/>
        <w:jc w:val="both"/>
        <w:rPr>
          <w:rFonts w:ascii="Bookman Old Style" w:eastAsia="Times New Roman" w:hAnsi="Bookman Old Style" w:cs="Times New Roman"/>
        </w:rPr>
      </w:pPr>
      <w:r w:rsidRPr="0062622D">
        <w:rPr>
          <w:rFonts w:ascii="Bookman Old Style" w:eastAsia="Times New Roman" w:hAnsi="Bookman Old Style" w:cs="Arial"/>
          <w:b/>
          <w:bCs/>
          <w:color w:val="0000FF"/>
        </w:rPr>
        <w:t>User Guides for submitting of your Registration Annexures</w:t>
      </w:r>
    </w:p>
    <w:p w:rsidR="006207E7" w:rsidRPr="0062622D" w:rsidRDefault="006207E7" w:rsidP="006207E7">
      <w:pPr>
        <w:spacing w:after="150" w:line="240" w:lineRule="auto"/>
        <w:jc w:val="both"/>
        <w:rPr>
          <w:rFonts w:ascii="Bookman Old Style" w:eastAsia="Times New Roman" w:hAnsi="Bookman Old Style" w:cs="Times New Roman"/>
        </w:rPr>
      </w:pPr>
      <w:hyperlink r:id="rId5" w:history="1">
        <w:r w:rsidRPr="0062622D">
          <w:rPr>
            <w:rFonts w:ascii="Bookman Old Style" w:eastAsia="Times New Roman" w:hAnsi="Bookman Old Style" w:cs="Times New Roman"/>
            <w:color w:val="0072C6"/>
          </w:rPr>
          <w:t>Step by Step guide for VAT Registration</w:t>
        </w:r>
      </w:hyperlink>
    </w:p>
    <w:p w:rsidR="006207E7" w:rsidRPr="0062622D" w:rsidRDefault="006207E7" w:rsidP="006207E7">
      <w:pPr>
        <w:spacing w:after="0" w:line="240" w:lineRule="auto"/>
        <w:jc w:val="both"/>
        <w:rPr>
          <w:rFonts w:ascii="Bookman Old Style" w:eastAsia="Times New Roman" w:hAnsi="Bookman Old Style" w:cs="Times New Roman"/>
          <w:color w:val="663399"/>
        </w:rPr>
      </w:pPr>
      <w:r w:rsidRPr="0062622D">
        <w:rPr>
          <w:rFonts w:ascii="Bookman Old Style" w:eastAsia="Times New Roman" w:hAnsi="Bookman Old Style" w:cs="Times New Roman"/>
        </w:rPr>
        <w:fldChar w:fldCharType="begin"/>
      </w:r>
      <w:r w:rsidRPr="0062622D">
        <w:rPr>
          <w:rFonts w:ascii="Bookman Old Style" w:eastAsia="Times New Roman" w:hAnsi="Bookman Old Style" w:cs="Times New Roman"/>
        </w:rPr>
        <w:instrText xml:space="preserve"> HYPERLINK "http://web.ura.go.ug/service%20guides/ANEXTURE-FOR-LED-REGISTRATION-reg-led1.pdf" </w:instrText>
      </w:r>
      <w:r w:rsidRPr="0062622D">
        <w:rPr>
          <w:rFonts w:ascii="Bookman Old Style" w:eastAsia="Times New Roman" w:hAnsi="Bookman Old Style" w:cs="Times New Roman"/>
        </w:rPr>
        <w:fldChar w:fldCharType="separate"/>
      </w:r>
    </w:p>
    <w:p w:rsidR="006207E7" w:rsidRPr="0062622D" w:rsidRDefault="006207E7" w:rsidP="006207E7">
      <w:pPr>
        <w:spacing w:after="150" w:line="240" w:lineRule="auto"/>
        <w:jc w:val="both"/>
        <w:rPr>
          <w:rFonts w:ascii="Bookman Old Style" w:eastAsia="Times New Roman" w:hAnsi="Bookman Old Style" w:cs="Times New Roman"/>
        </w:rPr>
      </w:pPr>
      <w:r w:rsidRPr="0062622D">
        <w:rPr>
          <w:rFonts w:ascii="Bookman Old Style" w:eastAsia="Times New Roman" w:hAnsi="Bookman Old Style" w:cs="Times New Roman"/>
          <w:color w:val="663399"/>
        </w:rPr>
        <w:t>Step by Step guide for LED Registration</w:t>
      </w:r>
    </w:p>
    <w:p w:rsidR="006207E7" w:rsidRPr="0062622D" w:rsidRDefault="006207E7" w:rsidP="006207E7">
      <w:pPr>
        <w:spacing w:after="0" w:line="240" w:lineRule="auto"/>
        <w:jc w:val="both"/>
        <w:rPr>
          <w:rFonts w:ascii="Bookman Old Style" w:eastAsia="Times New Roman" w:hAnsi="Bookman Old Style" w:cs="Times New Roman"/>
        </w:rPr>
      </w:pPr>
      <w:r w:rsidRPr="0062622D">
        <w:rPr>
          <w:rFonts w:ascii="Bookman Old Style" w:eastAsia="Times New Roman" w:hAnsi="Bookman Old Style" w:cs="Times New Roman"/>
        </w:rPr>
        <w:fldChar w:fldCharType="end"/>
      </w:r>
    </w:p>
    <w:p w:rsidR="006207E7" w:rsidRPr="0062622D" w:rsidRDefault="006207E7" w:rsidP="006207E7">
      <w:pPr>
        <w:spacing w:after="150" w:line="240" w:lineRule="auto"/>
        <w:jc w:val="both"/>
        <w:rPr>
          <w:rFonts w:ascii="Bookman Old Style" w:eastAsia="Times New Roman" w:hAnsi="Bookman Old Style" w:cs="Times New Roman"/>
        </w:rPr>
      </w:pPr>
      <w:hyperlink r:id="rId6" w:history="1">
        <w:r w:rsidRPr="0062622D">
          <w:rPr>
            <w:rFonts w:ascii="Bookman Old Style" w:eastAsia="Times New Roman" w:hAnsi="Bookman Old Style" w:cs="Times New Roman"/>
            <w:color w:val="0072C6"/>
          </w:rPr>
          <w:t>Step by Step guide for GPBT Registration</w:t>
        </w:r>
      </w:hyperlink>
    </w:p>
    <w:p w:rsidR="006207E7" w:rsidRPr="0062622D" w:rsidRDefault="006207E7" w:rsidP="006207E7">
      <w:pPr>
        <w:jc w:val="both"/>
        <w:rPr>
          <w:rFonts w:ascii="Bookman Old Style" w:hAnsi="Bookman Old Style"/>
        </w:rPr>
      </w:pPr>
    </w:p>
    <w:p w:rsidR="007875F6" w:rsidRDefault="007875F6">
      <w:bookmarkStart w:id="0" w:name="_GoBack"/>
      <w:bookmarkEnd w:id="0"/>
    </w:p>
    <w:sectPr w:rsidR="00787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0CB1"/>
    <w:multiLevelType w:val="multilevel"/>
    <w:tmpl w:val="3AF6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2039F"/>
    <w:multiLevelType w:val="hybridMultilevel"/>
    <w:tmpl w:val="1262A8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C87DAA"/>
    <w:multiLevelType w:val="hybridMultilevel"/>
    <w:tmpl w:val="6E0E956A"/>
    <w:lvl w:ilvl="0" w:tplc="80E08210">
      <w:start w:val="1"/>
      <w:numFmt w:val="decimal"/>
      <w:lvlText w:val="%1."/>
      <w:lvlJc w:val="left"/>
      <w:pPr>
        <w:ind w:left="371"/>
      </w:pPr>
      <w:rPr>
        <w:rFonts w:ascii="Calibri" w:eastAsia="Calibri" w:hAnsi="Calibri" w:cs="Calibri"/>
        <w:b w:val="0"/>
        <w:i w:val="0"/>
        <w:strike w:val="0"/>
        <w:dstrike w:val="0"/>
        <w:color w:val="0371B9"/>
        <w:sz w:val="22"/>
        <w:u w:val="none" w:color="000000"/>
        <w:bdr w:val="none" w:sz="0" w:space="0" w:color="auto"/>
        <w:shd w:val="clear" w:color="auto" w:fill="auto"/>
        <w:vertAlign w:val="baseline"/>
      </w:rPr>
    </w:lvl>
    <w:lvl w:ilvl="1" w:tplc="409874DE">
      <w:start w:val="1"/>
      <w:numFmt w:val="lowerLetter"/>
      <w:lvlText w:val="%2"/>
      <w:lvlJc w:val="left"/>
      <w:pPr>
        <w:ind w:left="1094"/>
      </w:pPr>
      <w:rPr>
        <w:rFonts w:ascii="Calibri" w:eastAsia="Calibri" w:hAnsi="Calibri" w:cs="Calibri"/>
        <w:b w:val="0"/>
        <w:i w:val="0"/>
        <w:strike w:val="0"/>
        <w:dstrike w:val="0"/>
        <w:color w:val="0371B9"/>
        <w:sz w:val="22"/>
        <w:u w:val="none" w:color="000000"/>
        <w:bdr w:val="none" w:sz="0" w:space="0" w:color="auto"/>
        <w:shd w:val="clear" w:color="auto" w:fill="auto"/>
        <w:vertAlign w:val="baseline"/>
      </w:rPr>
    </w:lvl>
    <w:lvl w:ilvl="2" w:tplc="005AB9BC">
      <w:start w:val="1"/>
      <w:numFmt w:val="lowerRoman"/>
      <w:lvlText w:val="%3"/>
      <w:lvlJc w:val="left"/>
      <w:pPr>
        <w:ind w:left="1814"/>
      </w:pPr>
      <w:rPr>
        <w:rFonts w:ascii="Calibri" w:eastAsia="Calibri" w:hAnsi="Calibri" w:cs="Calibri"/>
        <w:b w:val="0"/>
        <w:i w:val="0"/>
        <w:strike w:val="0"/>
        <w:dstrike w:val="0"/>
        <w:color w:val="0371B9"/>
        <w:sz w:val="22"/>
        <w:u w:val="none" w:color="000000"/>
        <w:bdr w:val="none" w:sz="0" w:space="0" w:color="auto"/>
        <w:shd w:val="clear" w:color="auto" w:fill="auto"/>
        <w:vertAlign w:val="baseline"/>
      </w:rPr>
    </w:lvl>
    <w:lvl w:ilvl="3" w:tplc="1B8629A4">
      <w:start w:val="1"/>
      <w:numFmt w:val="decimal"/>
      <w:lvlText w:val="%4"/>
      <w:lvlJc w:val="left"/>
      <w:pPr>
        <w:ind w:left="2534"/>
      </w:pPr>
      <w:rPr>
        <w:rFonts w:ascii="Calibri" w:eastAsia="Calibri" w:hAnsi="Calibri" w:cs="Calibri"/>
        <w:b w:val="0"/>
        <w:i w:val="0"/>
        <w:strike w:val="0"/>
        <w:dstrike w:val="0"/>
        <w:color w:val="0371B9"/>
        <w:sz w:val="22"/>
        <w:u w:val="none" w:color="000000"/>
        <w:bdr w:val="none" w:sz="0" w:space="0" w:color="auto"/>
        <w:shd w:val="clear" w:color="auto" w:fill="auto"/>
        <w:vertAlign w:val="baseline"/>
      </w:rPr>
    </w:lvl>
    <w:lvl w:ilvl="4" w:tplc="073E4CD6">
      <w:start w:val="1"/>
      <w:numFmt w:val="lowerLetter"/>
      <w:lvlText w:val="%5"/>
      <w:lvlJc w:val="left"/>
      <w:pPr>
        <w:ind w:left="3254"/>
      </w:pPr>
      <w:rPr>
        <w:rFonts w:ascii="Calibri" w:eastAsia="Calibri" w:hAnsi="Calibri" w:cs="Calibri"/>
        <w:b w:val="0"/>
        <w:i w:val="0"/>
        <w:strike w:val="0"/>
        <w:dstrike w:val="0"/>
        <w:color w:val="0371B9"/>
        <w:sz w:val="22"/>
        <w:u w:val="none" w:color="000000"/>
        <w:bdr w:val="none" w:sz="0" w:space="0" w:color="auto"/>
        <w:shd w:val="clear" w:color="auto" w:fill="auto"/>
        <w:vertAlign w:val="baseline"/>
      </w:rPr>
    </w:lvl>
    <w:lvl w:ilvl="5" w:tplc="27F68728">
      <w:start w:val="1"/>
      <w:numFmt w:val="lowerRoman"/>
      <w:lvlText w:val="%6"/>
      <w:lvlJc w:val="left"/>
      <w:pPr>
        <w:ind w:left="3974"/>
      </w:pPr>
      <w:rPr>
        <w:rFonts w:ascii="Calibri" w:eastAsia="Calibri" w:hAnsi="Calibri" w:cs="Calibri"/>
        <w:b w:val="0"/>
        <w:i w:val="0"/>
        <w:strike w:val="0"/>
        <w:dstrike w:val="0"/>
        <w:color w:val="0371B9"/>
        <w:sz w:val="22"/>
        <w:u w:val="none" w:color="000000"/>
        <w:bdr w:val="none" w:sz="0" w:space="0" w:color="auto"/>
        <w:shd w:val="clear" w:color="auto" w:fill="auto"/>
        <w:vertAlign w:val="baseline"/>
      </w:rPr>
    </w:lvl>
    <w:lvl w:ilvl="6" w:tplc="AAFE57F2">
      <w:start w:val="1"/>
      <w:numFmt w:val="decimal"/>
      <w:lvlText w:val="%7"/>
      <w:lvlJc w:val="left"/>
      <w:pPr>
        <w:ind w:left="4694"/>
      </w:pPr>
      <w:rPr>
        <w:rFonts w:ascii="Calibri" w:eastAsia="Calibri" w:hAnsi="Calibri" w:cs="Calibri"/>
        <w:b w:val="0"/>
        <w:i w:val="0"/>
        <w:strike w:val="0"/>
        <w:dstrike w:val="0"/>
        <w:color w:val="0371B9"/>
        <w:sz w:val="22"/>
        <w:u w:val="none" w:color="000000"/>
        <w:bdr w:val="none" w:sz="0" w:space="0" w:color="auto"/>
        <w:shd w:val="clear" w:color="auto" w:fill="auto"/>
        <w:vertAlign w:val="baseline"/>
      </w:rPr>
    </w:lvl>
    <w:lvl w:ilvl="7" w:tplc="7A4A046E">
      <w:start w:val="1"/>
      <w:numFmt w:val="lowerLetter"/>
      <w:lvlText w:val="%8"/>
      <w:lvlJc w:val="left"/>
      <w:pPr>
        <w:ind w:left="5414"/>
      </w:pPr>
      <w:rPr>
        <w:rFonts w:ascii="Calibri" w:eastAsia="Calibri" w:hAnsi="Calibri" w:cs="Calibri"/>
        <w:b w:val="0"/>
        <w:i w:val="0"/>
        <w:strike w:val="0"/>
        <w:dstrike w:val="0"/>
        <w:color w:val="0371B9"/>
        <w:sz w:val="22"/>
        <w:u w:val="none" w:color="000000"/>
        <w:bdr w:val="none" w:sz="0" w:space="0" w:color="auto"/>
        <w:shd w:val="clear" w:color="auto" w:fill="auto"/>
        <w:vertAlign w:val="baseline"/>
      </w:rPr>
    </w:lvl>
    <w:lvl w:ilvl="8" w:tplc="2FECC10E">
      <w:start w:val="1"/>
      <w:numFmt w:val="lowerRoman"/>
      <w:lvlText w:val="%9"/>
      <w:lvlJc w:val="left"/>
      <w:pPr>
        <w:ind w:left="6134"/>
      </w:pPr>
      <w:rPr>
        <w:rFonts w:ascii="Calibri" w:eastAsia="Calibri" w:hAnsi="Calibri" w:cs="Calibri"/>
        <w:b w:val="0"/>
        <w:i w:val="0"/>
        <w:strike w:val="0"/>
        <w:dstrike w:val="0"/>
        <w:color w:val="0371B9"/>
        <w:sz w:val="22"/>
        <w:u w:val="none" w:color="000000"/>
        <w:bdr w:val="none" w:sz="0" w:space="0" w:color="auto"/>
        <w:shd w:val="clear" w:color="auto" w:fill="auto"/>
        <w:vertAlign w:val="baseline"/>
      </w:rPr>
    </w:lvl>
  </w:abstractNum>
  <w:abstractNum w:abstractNumId="3" w15:restartNumberingAfterBreak="0">
    <w:nsid w:val="56C75917"/>
    <w:multiLevelType w:val="multilevel"/>
    <w:tmpl w:val="11A2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704F52"/>
    <w:multiLevelType w:val="hybridMultilevel"/>
    <w:tmpl w:val="7306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663791"/>
    <w:multiLevelType w:val="hybridMultilevel"/>
    <w:tmpl w:val="08529BF0"/>
    <w:lvl w:ilvl="0" w:tplc="B6B82796">
      <w:start w:val="1"/>
      <w:numFmt w:val="decimal"/>
      <w:lvlText w:val="%1."/>
      <w:lvlJc w:val="left"/>
      <w:pPr>
        <w:ind w:left="371"/>
      </w:pPr>
      <w:rPr>
        <w:rFonts w:ascii="Calibri" w:eastAsia="Calibri" w:hAnsi="Calibri" w:cs="Calibri"/>
        <w:b w:val="0"/>
        <w:i w:val="0"/>
        <w:strike w:val="0"/>
        <w:dstrike w:val="0"/>
        <w:color w:val="0371B9"/>
        <w:sz w:val="22"/>
        <w:u w:val="none" w:color="000000"/>
        <w:bdr w:val="none" w:sz="0" w:space="0" w:color="auto"/>
        <w:shd w:val="clear" w:color="auto" w:fill="auto"/>
        <w:vertAlign w:val="baseline"/>
      </w:rPr>
    </w:lvl>
    <w:lvl w:ilvl="1" w:tplc="1082A0F4">
      <w:start w:val="1"/>
      <w:numFmt w:val="lowerLetter"/>
      <w:lvlText w:val="%2"/>
      <w:lvlJc w:val="left"/>
      <w:pPr>
        <w:ind w:left="1094"/>
      </w:pPr>
      <w:rPr>
        <w:rFonts w:ascii="Calibri" w:eastAsia="Calibri" w:hAnsi="Calibri" w:cs="Calibri"/>
        <w:b w:val="0"/>
        <w:i w:val="0"/>
        <w:strike w:val="0"/>
        <w:dstrike w:val="0"/>
        <w:color w:val="0371B9"/>
        <w:sz w:val="22"/>
        <w:u w:val="none" w:color="000000"/>
        <w:bdr w:val="none" w:sz="0" w:space="0" w:color="auto"/>
        <w:shd w:val="clear" w:color="auto" w:fill="auto"/>
        <w:vertAlign w:val="baseline"/>
      </w:rPr>
    </w:lvl>
    <w:lvl w:ilvl="2" w:tplc="1F24E8EC">
      <w:start w:val="1"/>
      <w:numFmt w:val="lowerRoman"/>
      <w:lvlText w:val="%3"/>
      <w:lvlJc w:val="left"/>
      <w:pPr>
        <w:ind w:left="1814"/>
      </w:pPr>
      <w:rPr>
        <w:rFonts w:ascii="Calibri" w:eastAsia="Calibri" w:hAnsi="Calibri" w:cs="Calibri"/>
        <w:b w:val="0"/>
        <w:i w:val="0"/>
        <w:strike w:val="0"/>
        <w:dstrike w:val="0"/>
        <w:color w:val="0371B9"/>
        <w:sz w:val="22"/>
        <w:u w:val="none" w:color="000000"/>
        <w:bdr w:val="none" w:sz="0" w:space="0" w:color="auto"/>
        <w:shd w:val="clear" w:color="auto" w:fill="auto"/>
        <w:vertAlign w:val="baseline"/>
      </w:rPr>
    </w:lvl>
    <w:lvl w:ilvl="3" w:tplc="34E6CA7A">
      <w:start w:val="1"/>
      <w:numFmt w:val="decimal"/>
      <w:lvlText w:val="%4"/>
      <w:lvlJc w:val="left"/>
      <w:pPr>
        <w:ind w:left="2534"/>
      </w:pPr>
      <w:rPr>
        <w:rFonts w:ascii="Calibri" w:eastAsia="Calibri" w:hAnsi="Calibri" w:cs="Calibri"/>
        <w:b w:val="0"/>
        <w:i w:val="0"/>
        <w:strike w:val="0"/>
        <w:dstrike w:val="0"/>
        <w:color w:val="0371B9"/>
        <w:sz w:val="22"/>
        <w:u w:val="none" w:color="000000"/>
        <w:bdr w:val="none" w:sz="0" w:space="0" w:color="auto"/>
        <w:shd w:val="clear" w:color="auto" w:fill="auto"/>
        <w:vertAlign w:val="baseline"/>
      </w:rPr>
    </w:lvl>
    <w:lvl w:ilvl="4" w:tplc="52980ADE">
      <w:start w:val="1"/>
      <w:numFmt w:val="lowerLetter"/>
      <w:lvlText w:val="%5"/>
      <w:lvlJc w:val="left"/>
      <w:pPr>
        <w:ind w:left="3254"/>
      </w:pPr>
      <w:rPr>
        <w:rFonts w:ascii="Calibri" w:eastAsia="Calibri" w:hAnsi="Calibri" w:cs="Calibri"/>
        <w:b w:val="0"/>
        <w:i w:val="0"/>
        <w:strike w:val="0"/>
        <w:dstrike w:val="0"/>
        <w:color w:val="0371B9"/>
        <w:sz w:val="22"/>
        <w:u w:val="none" w:color="000000"/>
        <w:bdr w:val="none" w:sz="0" w:space="0" w:color="auto"/>
        <w:shd w:val="clear" w:color="auto" w:fill="auto"/>
        <w:vertAlign w:val="baseline"/>
      </w:rPr>
    </w:lvl>
    <w:lvl w:ilvl="5" w:tplc="6B365DFE">
      <w:start w:val="1"/>
      <w:numFmt w:val="lowerRoman"/>
      <w:lvlText w:val="%6"/>
      <w:lvlJc w:val="left"/>
      <w:pPr>
        <w:ind w:left="3974"/>
      </w:pPr>
      <w:rPr>
        <w:rFonts w:ascii="Calibri" w:eastAsia="Calibri" w:hAnsi="Calibri" w:cs="Calibri"/>
        <w:b w:val="0"/>
        <w:i w:val="0"/>
        <w:strike w:val="0"/>
        <w:dstrike w:val="0"/>
        <w:color w:val="0371B9"/>
        <w:sz w:val="22"/>
        <w:u w:val="none" w:color="000000"/>
        <w:bdr w:val="none" w:sz="0" w:space="0" w:color="auto"/>
        <w:shd w:val="clear" w:color="auto" w:fill="auto"/>
        <w:vertAlign w:val="baseline"/>
      </w:rPr>
    </w:lvl>
    <w:lvl w:ilvl="6" w:tplc="45B82990">
      <w:start w:val="1"/>
      <w:numFmt w:val="decimal"/>
      <w:lvlText w:val="%7"/>
      <w:lvlJc w:val="left"/>
      <w:pPr>
        <w:ind w:left="4694"/>
      </w:pPr>
      <w:rPr>
        <w:rFonts w:ascii="Calibri" w:eastAsia="Calibri" w:hAnsi="Calibri" w:cs="Calibri"/>
        <w:b w:val="0"/>
        <w:i w:val="0"/>
        <w:strike w:val="0"/>
        <w:dstrike w:val="0"/>
        <w:color w:val="0371B9"/>
        <w:sz w:val="22"/>
        <w:u w:val="none" w:color="000000"/>
        <w:bdr w:val="none" w:sz="0" w:space="0" w:color="auto"/>
        <w:shd w:val="clear" w:color="auto" w:fill="auto"/>
        <w:vertAlign w:val="baseline"/>
      </w:rPr>
    </w:lvl>
    <w:lvl w:ilvl="7" w:tplc="F63E5D4C">
      <w:start w:val="1"/>
      <w:numFmt w:val="lowerLetter"/>
      <w:lvlText w:val="%8"/>
      <w:lvlJc w:val="left"/>
      <w:pPr>
        <w:ind w:left="5414"/>
      </w:pPr>
      <w:rPr>
        <w:rFonts w:ascii="Calibri" w:eastAsia="Calibri" w:hAnsi="Calibri" w:cs="Calibri"/>
        <w:b w:val="0"/>
        <w:i w:val="0"/>
        <w:strike w:val="0"/>
        <w:dstrike w:val="0"/>
        <w:color w:val="0371B9"/>
        <w:sz w:val="22"/>
        <w:u w:val="none" w:color="000000"/>
        <w:bdr w:val="none" w:sz="0" w:space="0" w:color="auto"/>
        <w:shd w:val="clear" w:color="auto" w:fill="auto"/>
        <w:vertAlign w:val="baseline"/>
      </w:rPr>
    </w:lvl>
    <w:lvl w:ilvl="8" w:tplc="9D60EF18">
      <w:start w:val="1"/>
      <w:numFmt w:val="lowerRoman"/>
      <w:lvlText w:val="%9"/>
      <w:lvlJc w:val="left"/>
      <w:pPr>
        <w:ind w:left="6134"/>
      </w:pPr>
      <w:rPr>
        <w:rFonts w:ascii="Calibri" w:eastAsia="Calibri" w:hAnsi="Calibri" w:cs="Calibri"/>
        <w:b w:val="0"/>
        <w:i w:val="0"/>
        <w:strike w:val="0"/>
        <w:dstrike w:val="0"/>
        <w:color w:val="0371B9"/>
        <w:sz w:val="22"/>
        <w:u w:val="none" w:color="000000"/>
        <w:bdr w:val="none" w:sz="0" w:space="0" w:color="auto"/>
        <w:shd w:val="clear" w:color="auto" w:fill="auto"/>
        <w:vertAlign w:val="baseline"/>
      </w:rPr>
    </w:lvl>
  </w:abstractNum>
  <w:abstractNum w:abstractNumId="6" w15:restartNumberingAfterBreak="0">
    <w:nsid w:val="727244C0"/>
    <w:multiLevelType w:val="hybridMultilevel"/>
    <w:tmpl w:val="9C086C70"/>
    <w:lvl w:ilvl="0" w:tplc="04090001">
      <w:start w:val="1"/>
      <w:numFmt w:val="bullet"/>
      <w:lvlText w:val=""/>
      <w:lvlJc w:val="left"/>
      <w:pPr>
        <w:ind w:left="858"/>
      </w:pPr>
      <w:rPr>
        <w:rFonts w:ascii="Symbol" w:hAnsi="Symbol" w:hint="default"/>
        <w:b w:val="0"/>
        <w:i w:val="0"/>
        <w:strike w:val="0"/>
        <w:dstrike w:val="0"/>
        <w:color w:val="0371B9"/>
        <w:sz w:val="20"/>
        <w:u w:val="none" w:color="000000"/>
        <w:bdr w:val="none" w:sz="0" w:space="0" w:color="auto"/>
        <w:shd w:val="clear" w:color="auto" w:fill="auto"/>
        <w:vertAlign w:val="baseline"/>
      </w:rPr>
    </w:lvl>
    <w:lvl w:ilvl="1" w:tplc="B61A9656">
      <w:start w:val="1"/>
      <w:numFmt w:val="bullet"/>
      <w:lvlText w:val="o"/>
      <w:lvlJc w:val="left"/>
      <w:pPr>
        <w:ind w:left="1516"/>
      </w:pPr>
      <w:rPr>
        <w:rFonts w:ascii="Segoe UI Symbol" w:eastAsia="Segoe UI Symbol" w:hAnsi="Segoe UI Symbol" w:cs="Segoe UI Symbol"/>
        <w:b w:val="0"/>
        <w:i w:val="0"/>
        <w:strike w:val="0"/>
        <w:dstrike w:val="0"/>
        <w:color w:val="0371B9"/>
        <w:sz w:val="20"/>
        <w:u w:val="none" w:color="000000"/>
        <w:bdr w:val="none" w:sz="0" w:space="0" w:color="auto"/>
        <w:shd w:val="clear" w:color="auto" w:fill="auto"/>
        <w:vertAlign w:val="baseline"/>
      </w:rPr>
    </w:lvl>
    <w:lvl w:ilvl="2" w:tplc="CEB80FC6">
      <w:start w:val="1"/>
      <w:numFmt w:val="bullet"/>
      <w:lvlText w:val="▪"/>
      <w:lvlJc w:val="left"/>
      <w:pPr>
        <w:ind w:left="2236"/>
      </w:pPr>
      <w:rPr>
        <w:rFonts w:ascii="Segoe UI Symbol" w:eastAsia="Segoe UI Symbol" w:hAnsi="Segoe UI Symbol" w:cs="Segoe UI Symbol"/>
        <w:b w:val="0"/>
        <w:i w:val="0"/>
        <w:strike w:val="0"/>
        <w:dstrike w:val="0"/>
        <w:color w:val="0371B9"/>
        <w:sz w:val="20"/>
        <w:u w:val="none" w:color="000000"/>
        <w:bdr w:val="none" w:sz="0" w:space="0" w:color="auto"/>
        <w:shd w:val="clear" w:color="auto" w:fill="auto"/>
        <w:vertAlign w:val="baseline"/>
      </w:rPr>
    </w:lvl>
    <w:lvl w:ilvl="3" w:tplc="82AA4AAA">
      <w:start w:val="1"/>
      <w:numFmt w:val="bullet"/>
      <w:lvlText w:val="•"/>
      <w:lvlJc w:val="left"/>
      <w:pPr>
        <w:ind w:left="2956"/>
      </w:pPr>
      <w:rPr>
        <w:rFonts w:ascii="Arial" w:eastAsia="Arial" w:hAnsi="Arial" w:cs="Arial"/>
        <w:b w:val="0"/>
        <w:i w:val="0"/>
        <w:strike w:val="0"/>
        <w:dstrike w:val="0"/>
        <w:color w:val="0371B9"/>
        <w:sz w:val="20"/>
        <w:u w:val="none" w:color="000000"/>
        <w:bdr w:val="none" w:sz="0" w:space="0" w:color="auto"/>
        <w:shd w:val="clear" w:color="auto" w:fill="auto"/>
        <w:vertAlign w:val="baseline"/>
      </w:rPr>
    </w:lvl>
    <w:lvl w:ilvl="4" w:tplc="E0385D92">
      <w:start w:val="1"/>
      <w:numFmt w:val="bullet"/>
      <w:lvlText w:val="o"/>
      <w:lvlJc w:val="left"/>
      <w:pPr>
        <w:ind w:left="3676"/>
      </w:pPr>
      <w:rPr>
        <w:rFonts w:ascii="Segoe UI Symbol" w:eastAsia="Segoe UI Symbol" w:hAnsi="Segoe UI Symbol" w:cs="Segoe UI Symbol"/>
        <w:b w:val="0"/>
        <w:i w:val="0"/>
        <w:strike w:val="0"/>
        <w:dstrike w:val="0"/>
        <w:color w:val="0371B9"/>
        <w:sz w:val="20"/>
        <w:u w:val="none" w:color="000000"/>
        <w:bdr w:val="none" w:sz="0" w:space="0" w:color="auto"/>
        <w:shd w:val="clear" w:color="auto" w:fill="auto"/>
        <w:vertAlign w:val="baseline"/>
      </w:rPr>
    </w:lvl>
    <w:lvl w:ilvl="5" w:tplc="086A15FC">
      <w:start w:val="1"/>
      <w:numFmt w:val="bullet"/>
      <w:lvlText w:val="▪"/>
      <w:lvlJc w:val="left"/>
      <w:pPr>
        <w:ind w:left="4396"/>
      </w:pPr>
      <w:rPr>
        <w:rFonts w:ascii="Segoe UI Symbol" w:eastAsia="Segoe UI Symbol" w:hAnsi="Segoe UI Symbol" w:cs="Segoe UI Symbol"/>
        <w:b w:val="0"/>
        <w:i w:val="0"/>
        <w:strike w:val="0"/>
        <w:dstrike w:val="0"/>
        <w:color w:val="0371B9"/>
        <w:sz w:val="20"/>
        <w:u w:val="none" w:color="000000"/>
        <w:bdr w:val="none" w:sz="0" w:space="0" w:color="auto"/>
        <w:shd w:val="clear" w:color="auto" w:fill="auto"/>
        <w:vertAlign w:val="baseline"/>
      </w:rPr>
    </w:lvl>
    <w:lvl w:ilvl="6" w:tplc="A4526FB8">
      <w:start w:val="1"/>
      <w:numFmt w:val="bullet"/>
      <w:lvlText w:val="•"/>
      <w:lvlJc w:val="left"/>
      <w:pPr>
        <w:ind w:left="5116"/>
      </w:pPr>
      <w:rPr>
        <w:rFonts w:ascii="Arial" w:eastAsia="Arial" w:hAnsi="Arial" w:cs="Arial"/>
        <w:b w:val="0"/>
        <w:i w:val="0"/>
        <w:strike w:val="0"/>
        <w:dstrike w:val="0"/>
        <w:color w:val="0371B9"/>
        <w:sz w:val="20"/>
        <w:u w:val="none" w:color="000000"/>
        <w:bdr w:val="none" w:sz="0" w:space="0" w:color="auto"/>
        <w:shd w:val="clear" w:color="auto" w:fill="auto"/>
        <w:vertAlign w:val="baseline"/>
      </w:rPr>
    </w:lvl>
    <w:lvl w:ilvl="7" w:tplc="69CC57A8">
      <w:start w:val="1"/>
      <w:numFmt w:val="bullet"/>
      <w:lvlText w:val="o"/>
      <w:lvlJc w:val="left"/>
      <w:pPr>
        <w:ind w:left="5836"/>
      </w:pPr>
      <w:rPr>
        <w:rFonts w:ascii="Segoe UI Symbol" w:eastAsia="Segoe UI Symbol" w:hAnsi="Segoe UI Symbol" w:cs="Segoe UI Symbol"/>
        <w:b w:val="0"/>
        <w:i w:val="0"/>
        <w:strike w:val="0"/>
        <w:dstrike w:val="0"/>
        <w:color w:val="0371B9"/>
        <w:sz w:val="20"/>
        <w:u w:val="none" w:color="000000"/>
        <w:bdr w:val="none" w:sz="0" w:space="0" w:color="auto"/>
        <w:shd w:val="clear" w:color="auto" w:fill="auto"/>
        <w:vertAlign w:val="baseline"/>
      </w:rPr>
    </w:lvl>
    <w:lvl w:ilvl="8" w:tplc="31EA31C8">
      <w:start w:val="1"/>
      <w:numFmt w:val="bullet"/>
      <w:lvlText w:val="▪"/>
      <w:lvlJc w:val="left"/>
      <w:pPr>
        <w:ind w:left="6556"/>
      </w:pPr>
      <w:rPr>
        <w:rFonts w:ascii="Segoe UI Symbol" w:eastAsia="Segoe UI Symbol" w:hAnsi="Segoe UI Symbol" w:cs="Segoe UI Symbol"/>
        <w:b w:val="0"/>
        <w:i w:val="0"/>
        <w:strike w:val="0"/>
        <w:dstrike w:val="0"/>
        <w:color w:val="0371B9"/>
        <w:sz w:val="20"/>
        <w:u w:val="none" w:color="000000"/>
        <w:bdr w:val="none" w:sz="0" w:space="0" w:color="auto"/>
        <w:shd w:val="clear" w:color="auto" w:fill="auto"/>
        <w:vertAlign w:val="baseline"/>
      </w:rPr>
    </w:lvl>
  </w:abstractNum>
  <w:num w:numId="1">
    <w:abstractNumId w:val="0"/>
  </w:num>
  <w:num w:numId="2">
    <w:abstractNumId w:val="3"/>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B8"/>
    <w:rsid w:val="006207E7"/>
    <w:rsid w:val="007875F6"/>
    <w:rsid w:val="008326B8"/>
    <w:rsid w:val="00A9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621FF-3AF4-4D80-A468-FE3E9863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ura.go.ug/service%20guides/ANNEXTURE-FOR-GPBT-REGISTRATION-ON-TIN-REG.pdf" TargetMode="External"/><Relationship Id="rId5" Type="http://schemas.openxmlformats.org/officeDocument/2006/relationships/hyperlink" Target="http://web.ura.go.ug/service%20guides/ANNEXTURE-FOR-VAT-REGISTRATION-reg-VA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2377</Words>
  <Characters>12033</Characters>
  <Application>Microsoft Office Word</Application>
  <DocSecurity>0</DocSecurity>
  <Lines>273</Lines>
  <Paragraphs>154</Paragraphs>
  <ScaleCrop>false</ScaleCrop>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Kalema</dc:creator>
  <cp:keywords/>
  <dc:description/>
  <cp:lastModifiedBy>Hudson Kalema</cp:lastModifiedBy>
  <cp:revision>2</cp:revision>
  <dcterms:created xsi:type="dcterms:W3CDTF">2023-06-05T12:06:00Z</dcterms:created>
  <dcterms:modified xsi:type="dcterms:W3CDTF">2023-06-05T12:06:00Z</dcterms:modified>
</cp:coreProperties>
</file>