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247E9" w14:textId="530B3C79" w:rsidR="00AC1874" w:rsidRPr="00C47C03" w:rsidRDefault="00AC1874" w:rsidP="00AC1874">
      <w:pPr>
        <w:jc w:val="both"/>
        <w:rPr>
          <w:rFonts w:ascii="Bookman Old Style" w:hAnsi="Bookman Old Style" w:cs="Segoe UI"/>
          <w:b/>
          <w:color w:val="000000" w:themeColor="text1"/>
        </w:rPr>
      </w:pPr>
      <w:r w:rsidRPr="00C47C03">
        <w:rPr>
          <w:rFonts w:ascii="Bookman Old Style" w:hAnsi="Bookman Old Style" w:cs="Segoe UI"/>
          <w:b/>
          <w:color w:val="000000" w:themeColor="text1"/>
        </w:rPr>
        <w:t>Who is a VAT registered taxpayer?</w:t>
      </w:r>
    </w:p>
    <w:p w14:paraId="172D739D" w14:textId="7345C076" w:rsidR="00AC1874" w:rsidRPr="00C47C03" w:rsidRDefault="00AC1874" w:rsidP="00AC1874">
      <w:pPr>
        <w:jc w:val="both"/>
        <w:rPr>
          <w:rFonts w:ascii="Bookman Old Style" w:hAnsi="Bookman Old Style" w:cs="Segoe UI"/>
          <w:color w:val="000000" w:themeColor="text1"/>
        </w:rPr>
      </w:pPr>
      <w:r w:rsidRPr="00C47C03">
        <w:rPr>
          <w:rFonts w:ascii="Bookman Old Style" w:hAnsi="Bookman Old Style" w:cs="Segoe UI"/>
          <w:color w:val="000000" w:themeColor="text1"/>
        </w:rPr>
        <w:t xml:space="preserve">This is a business that makes total sales above </w:t>
      </w:r>
      <w:proofErr w:type="spellStart"/>
      <w:r w:rsidRPr="00C47C03">
        <w:rPr>
          <w:rFonts w:ascii="Bookman Old Style" w:hAnsi="Bookman Old Style" w:cs="Segoe UI"/>
          <w:color w:val="000000" w:themeColor="text1"/>
        </w:rPr>
        <w:t>Ugx</w:t>
      </w:r>
      <w:proofErr w:type="spellEnd"/>
      <w:r w:rsidRPr="00C47C03">
        <w:rPr>
          <w:rFonts w:ascii="Bookman Old Style" w:hAnsi="Bookman Old Style" w:cs="Segoe UI"/>
          <w:color w:val="000000" w:themeColor="text1"/>
        </w:rPr>
        <w:t xml:space="preserve"> 150,000,000 in a year and deals in taxable supplies</w:t>
      </w:r>
      <w:r w:rsidR="00E93014" w:rsidRPr="00C47C03">
        <w:rPr>
          <w:rFonts w:ascii="Bookman Old Style" w:hAnsi="Bookman Old Style" w:cs="Segoe UI"/>
          <w:color w:val="000000" w:themeColor="text1"/>
        </w:rPr>
        <w:t>.</w:t>
      </w:r>
    </w:p>
    <w:p w14:paraId="55F56208" w14:textId="27311D3D" w:rsidR="00E93014" w:rsidRPr="00C47C03" w:rsidRDefault="00E93014" w:rsidP="00AC1874">
      <w:pPr>
        <w:jc w:val="both"/>
        <w:rPr>
          <w:rFonts w:ascii="Bookman Old Style" w:hAnsi="Bookman Old Style" w:cs="Segoe UI"/>
          <w:color w:val="000000" w:themeColor="text1"/>
        </w:rPr>
      </w:pPr>
      <w:r w:rsidRPr="00C47C03">
        <w:rPr>
          <w:rFonts w:ascii="Bookman Old Style" w:hAnsi="Bookman Old Style" w:cs="Segoe UI"/>
          <w:color w:val="000000" w:themeColor="text1"/>
        </w:rPr>
        <w:t>If you run any business in this category and are not yet registered, you’re advised to register for VAT.</w:t>
      </w:r>
    </w:p>
    <w:p w14:paraId="223B7026" w14:textId="7685D737" w:rsidR="00E93014" w:rsidRPr="00C47C03" w:rsidRDefault="00E93014" w:rsidP="00AC1874">
      <w:pPr>
        <w:jc w:val="both"/>
        <w:rPr>
          <w:rFonts w:ascii="Bookman Old Style" w:hAnsi="Bookman Old Style" w:cs="Segoe UI"/>
          <w:color w:val="000000" w:themeColor="text1"/>
        </w:rPr>
      </w:pPr>
      <w:r w:rsidRPr="00C47C03">
        <w:rPr>
          <w:rFonts w:ascii="Bookman Old Style" w:hAnsi="Bookman Old Style" w:cs="Segoe UI"/>
          <w:color w:val="0070C0"/>
          <w:u w:val="single"/>
        </w:rPr>
        <w:t>Click here</w:t>
      </w:r>
      <w:r w:rsidRPr="00C47C03">
        <w:rPr>
          <w:rFonts w:ascii="Bookman Old Style" w:hAnsi="Bookman Old Style" w:cs="Segoe UI"/>
          <w:color w:val="0070C0"/>
        </w:rPr>
        <w:t xml:space="preserve"> </w:t>
      </w:r>
      <w:r w:rsidRPr="00C47C03">
        <w:rPr>
          <w:rFonts w:ascii="Bookman Old Style" w:hAnsi="Bookman Old Style" w:cs="Segoe UI"/>
          <w:color w:val="000000" w:themeColor="text1"/>
        </w:rPr>
        <w:t>to register for VAT</w:t>
      </w:r>
    </w:p>
    <w:p w14:paraId="20AB7858" w14:textId="53F209DB" w:rsidR="00AC1874" w:rsidRPr="00C47C03" w:rsidRDefault="00AC1874" w:rsidP="00AC1874">
      <w:pPr>
        <w:jc w:val="both"/>
        <w:rPr>
          <w:rFonts w:ascii="Bookman Old Style" w:hAnsi="Bookman Old Style" w:cs="Segoe UI"/>
          <w:b/>
          <w:color w:val="000000" w:themeColor="text1"/>
        </w:rPr>
      </w:pPr>
      <w:r w:rsidRPr="00C47C03">
        <w:rPr>
          <w:rFonts w:ascii="Bookman Old Style" w:hAnsi="Bookman Old Style" w:cs="Segoe UI"/>
          <w:b/>
          <w:color w:val="000000" w:themeColor="text1"/>
        </w:rPr>
        <w:t>What are examples of businesses in this category?</w:t>
      </w:r>
    </w:p>
    <w:p w14:paraId="0770F306" w14:textId="7FCCC83D" w:rsidR="00AC1874" w:rsidRPr="00C47C03" w:rsidRDefault="00AC1874" w:rsidP="00AC1874">
      <w:pPr>
        <w:jc w:val="both"/>
        <w:rPr>
          <w:rFonts w:ascii="Bookman Old Style" w:hAnsi="Bookman Old Style" w:cs="Segoe UI"/>
          <w:color w:val="000000" w:themeColor="text1"/>
        </w:rPr>
      </w:pPr>
      <w:r w:rsidRPr="00C47C03">
        <w:rPr>
          <w:rFonts w:ascii="Bookman Old Style" w:hAnsi="Bookman Old Style" w:cs="Segoe UI"/>
          <w:color w:val="000000" w:themeColor="text1"/>
        </w:rPr>
        <w:t xml:space="preserve">In this category, businesses considered include supermarkets, hardware shops, general merchandise shops, distributors and agents, </w:t>
      </w:r>
      <w:r w:rsidR="00E93014" w:rsidRPr="00C47C03">
        <w:rPr>
          <w:rFonts w:ascii="Bookman Old Style" w:hAnsi="Bookman Old Style" w:cs="Segoe UI"/>
          <w:color w:val="000000" w:themeColor="text1"/>
        </w:rPr>
        <w:t>electronics and electrical appliances shops etc.</w:t>
      </w:r>
    </w:p>
    <w:p w14:paraId="209F709E" w14:textId="77777777" w:rsidR="00F2295B" w:rsidRPr="00C47C03" w:rsidRDefault="00F2295B" w:rsidP="00F2295B">
      <w:pPr>
        <w:jc w:val="both"/>
        <w:rPr>
          <w:rFonts w:ascii="Bookman Old Style" w:hAnsi="Bookman Old Style" w:cs="Segoe UI"/>
          <w:b/>
          <w:color w:val="000000" w:themeColor="text1"/>
        </w:rPr>
      </w:pPr>
      <w:r w:rsidRPr="00C47C03">
        <w:rPr>
          <w:rFonts w:ascii="Bookman Old Style" w:hAnsi="Bookman Old Style" w:cs="Segoe UI"/>
          <w:b/>
          <w:color w:val="000000" w:themeColor="text1"/>
        </w:rPr>
        <w:t>What are my obligations as a VAT registered taxpayer?</w:t>
      </w:r>
    </w:p>
    <w:p w14:paraId="0A311718" w14:textId="08C2EFF8" w:rsidR="00F2295B" w:rsidRPr="00C47C03" w:rsidRDefault="00F2295B" w:rsidP="005D7711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Segoe UI"/>
          <w:color w:val="000000" w:themeColor="text1"/>
        </w:rPr>
      </w:pPr>
      <w:r w:rsidRPr="00C47C03">
        <w:rPr>
          <w:rFonts w:ascii="Bookman Old Style" w:hAnsi="Bookman Old Style" w:cs="Segoe UI"/>
          <w:color w:val="000000" w:themeColor="text1"/>
        </w:rPr>
        <w:t>Register for EFRIS</w:t>
      </w:r>
    </w:p>
    <w:p w14:paraId="06F2C95F" w14:textId="41254BB6" w:rsidR="00F2295B" w:rsidRPr="00C47C03" w:rsidRDefault="00F2295B" w:rsidP="00F2295B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Segoe UI"/>
          <w:color w:val="000000" w:themeColor="text1"/>
        </w:rPr>
      </w:pPr>
      <w:r w:rsidRPr="00C47C03">
        <w:rPr>
          <w:rFonts w:ascii="Bookman Old Style" w:hAnsi="Bookman Old Style" w:cs="Segoe UI"/>
          <w:color w:val="000000" w:themeColor="text1"/>
        </w:rPr>
        <w:t>Charge and collect VAT on taxable supplies by issuing a tax invoice</w:t>
      </w:r>
    </w:p>
    <w:p w14:paraId="4ED656A3" w14:textId="0CDF4CC9" w:rsidR="00F2295B" w:rsidRPr="00C47C03" w:rsidRDefault="00F2295B" w:rsidP="00F2295B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Segoe UI"/>
          <w:color w:val="000000" w:themeColor="text1"/>
        </w:rPr>
      </w:pPr>
      <w:r w:rsidRPr="00C47C03">
        <w:rPr>
          <w:rFonts w:ascii="Bookman Old Style" w:hAnsi="Bookman Old Style" w:cs="Segoe UI"/>
          <w:color w:val="000000" w:themeColor="text1"/>
        </w:rPr>
        <w:t>File a VAT return within 15 days after the end of the month</w:t>
      </w:r>
    </w:p>
    <w:p w14:paraId="6D916799" w14:textId="7896D9F3" w:rsidR="005D7711" w:rsidRPr="00C47C03" w:rsidRDefault="005D7711" w:rsidP="00F2295B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Segoe UI"/>
          <w:color w:val="000000" w:themeColor="text1"/>
        </w:rPr>
      </w:pPr>
      <w:r w:rsidRPr="00C47C03">
        <w:rPr>
          <w:rFonts w:ascii="Bookman Old Style" w:hAnsi="Bookman Old Style" w:cs="Segoe UI"/>
          <w:color w:val="000000" w:themeColor="text1"/>
        </w:rPr>
        <w:t xml:space="preserve">Maintain proper business records </w:t>
      </w:r>
    </w:p>
    <w:p w14:paraId="4E34494B" w14:textId="327150AD" w:rsidR="005D7711" w:rsidRPr="00C47C03" w:rsidRDefault="005D7711" w:rsidP="00F2295B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Segoe UI"/>
          <w:color w:val="000000" w:themeColor="text1"/>
        </w:rPr>
      </w:pPr>
      <w:r w:rsidRPr="00C47C03">
        <w:rPr>
          <w:rFonts w:ascii="Bookman Old Style" w:hAnsi="Bookman Old Style" w:cs="Segoe UI"/>
          <w:color w:val="000000" w:themeColor="text1"/>
        </w:rPr>
        <w:t>Avoid making false, reckless and misleading statements</w:t>
      </w:r>
    </w:p>
    <w:p w14:paraId="09C456A4" w14:textId="12AB4CC4" w:rsidR="00F2295B" w:rsidRPr="00C47C03" w:rsidRDefault="00F2295B" w:rsidP="00F2295B">
      <w:pPr>
        <w:pStyle w:val="ListParagraph"/>
        <w:numPr>
          <w:ilvl w:val="0"/>
          <w:numId w:val="4"/>
        </w:numPr>
        <w:jc w:val="both"/>
        <w:rPr>
          <w:rFonts w:ascii="Bookman Old Style" w:hAnsi="Bookman Old Style" w:cs="Segoe UI"/>
          <w:color w:val="000000" w:themeColor="text1"/>
        </w:rPr>
      </w:pPr>
      <w:r w:rsidRPr="00C47C03">
        <w:rPr>
          <w:rFonts w:ascii="Bookman Old Style" w:hAnsi="Bookman Old Style" w:cs="Segoe UI"/>
          <w:color w:val="000000" w:themeColor="text1"/>
        </w:rPr>
        <w:t>Pay VAT due as assessed in the return within 15 days after the end of the month</w:t>
      </w:r>
    </w:p>
    <w:p w14:paraId="50ACBF2A" w14:textId="11B04A35" w:rsidR="00F2295B" w:rsidRPr="00C47C03" w:rsidRDefault="00F2295B" w:rsidP="00F2295B">
      <w:pPr>
        <w:jc w:val="both"/>
        <w:rPr>
          <w:rFonts w:ascii="Bookman Old Style" w:hAnsi="Bookman Old Style" w:cs="Segoe UI"/>
          <w:i/>
          <w:color w:val="000000" w:themeColor="text1"/>
        </w:rPr>
      </w:pPr>
      <w:r w:rsidRPr="00C47C03">
        <w:rPr>
          <w:rFonts w:ascii="Bookman Old Style" w:hAnsi="Bookman Old Style" w:cs="Segoe UI"/>
          <w:i/>
          <w:color w:val="000000" w:themeColor="text1"/>
        </w:rPr>
        <w:t>The due date for filing a VAT return is the same for payment</w:t>
      </w:r>
    </w:p>
    <w:p w14:paraId="331B9BA3" w14:textId="5D535ABD" w:rsidR="005D7711" w:rsidRPr="00C47C03" w:rsidRDefault="005D7711" w:rsidP="00F2295B">
      <w:pPr>
        <w:jc w:val="both"/>
        <w:rPr>
          <w:rFonts w:ascii="Bookman Old Style" w:hAnsi="Bookman Old Style" w:cs="Segoe UI"/>
          <w:b/>
          <w:color w:val="000000" w:themeColor="text1"/>
        </w:rPr>
      </w:pPr>
      <w:r w:rsidRPr="00C47C03">
        <w:rPr>
          <w:rFonts w:ascii="Bookman Old Style" w:hAnsi="Bookman Old Style" w:cs="Segoe UI"/>
          <w:b/>
          <w:color w:val="000000" w:themeColor="text1"/>
        </w:rPr>
        <w:t>What are the benefits of VAT registration?</w:t>
      </w:r>
    </w:p>
    <w:p w14:paraId="61CCFCC5" w14:textId="5810E623" w:rsidR="005D7711" w:rsidRPr="00C47C03" w:rsidRDefault="005D7711" w:rsidP="005D7711">
      <w:pPr>
        <w:pStyle w:val="ListParagraph"/>
        <w:numPr>
          <w:ilvl w:val="0"/>
          <w:numId w:val="5"/>
        </w:numPr>
        <w:jc w:val="both"/>
        <w:rPr>
          <w:rFonts w:ascii="Bookman Old Style" w:hAnsi="Bookman Old Style" w:cs="Segoe UI"/>
          <w:color w:val="000000" w:themeColor="text1"/>
        </w:rPr>
      </w:pPr>
      <w:r w:rsidRPr="00C47C03">
        <w:rPr>
          <w:rFonts w:ascii="Bookman Old Style" w:hAnsi="Bookman Old Style" w:cs="Segoe UI"/>
          <w:color w:val="000000" w:themeColor="text1"/>
        </w:rPr>
        <w:t>You’re in position to supply large and/or reputable businesses which leads to more profits and business growth</w:t>
      </w:r>
    </w:p>
    <w:p w14:paraId="252CBABC" w14:textId="4874AFD1" w:rsidR="005D7711" w:rsidRPr="00C47C03" w:rsidRDefault="005D7711" w:rsidP="005D7711">
      <w:pPr>
        <w:pStyle w:val="ListParagraph"/>
        <w:numPr>
          <w:ilvl w:val="0"/>
          <w:numId w:val="5"/>
        </w:numPr>
        <w:jc w:val="both"/>
        <w:rPr>
          <w:rFonts w:ascii="Bookman Old Style" w:hAnsi="Bookman Old Style" w:cs="Segoe UI"/>
          <w:color w:val="000000" w:themeColor="text1"/>
        </w:rPr>
      </w:pPr>
      <w:r w:rsidRPr="00C47C03">
        <w:rPr>
          <w:rFonts w:ascii="Bookman Old Style" w:hAnsi="Bookman Old Style" w:cs="Segoe UI"/>
          <w:color w:val="000000" w:themeColor="text1"/>
        </w:rPr>
        <w:t xml:space="preserve">You avoid inconveniences arising from unfair assessments </w:t>
      </w:r>
    </w:p>
    <w:p w14:paraId="45B909D4" w14:textId="4FBA52FE" w:rsidR="00AC1874" w:rsidRPr="00C47C03" w:rsidRDefault="00AC1874" w:rsidP="00AC1874">
      <w:pPr>
        <w:jc w:val="both"/>
        <w:rPr>
          <w:rFonts w:ascii="Bookman Old Style" w:hAnsi="Bookman Old Style" w:cs="Segoe UI"/>
          <w:b/>
          <w:color w:val="000000" w:themeColor="text1"/>
        </w:rPr>
      </w:pPr>
      <w:r w:rsidRPr="00C47C03">
        <w:rPr>
          <w:rFonts w:ascii="Bookman Old Style" w:hAnsi="Bookman Old Style" w:cs="Segoe UI"/>
          <w:b/>
          <w:color w:val="000000" w:themeColor="text1"/>
        </w:rPr>
        <w:t xml:space="preserve">What </w:t>
      </w:r>
      <w:r w:rsidR="00E93014" w:rsidRPr="00C47C03">
        <w:rPr>
          <w:rFonts w:ascii="Bookman Old Style" w:hAnsi="Bookman Old Style" w:cs="Segoe UI"/>
          <w:b/>
          <w:color w:val="000000" w:themeColor="text1"/>
        </w:rPr>
        <w:t>taxes are payable by this</w:t>
      </w:r>
      <w:r w:rsidRPr="00C47C03">
        <w:rPr>
          <w:rFonts w:ascii="Bookman Old Style" w:hAnsi="Bookman Old Style" w:cs="Segoe UI"/>
          <w:b/>
          <w:color w:val="000000" w:themeColor="text1"/>
        </w:rPr>
        <w:t xml:space="preserve"> business</w:t>
      </w:r>
      <w:r w:rsidR="00E93014" w:rsidRPr="00C47C03">
        <w:rPr>
          <w:rFonts w:ascii="Bookman Old Style" w:hAnsi="Bookman Old Style" w:cs="Segoe UI"/>
          <w:b/>
          <w:color w:val="000000" w:themeColor="text1"/>
        </w:rPr>
        <w:t xml:space="preserve"> category</w:t>
      </w:r>
      <w:r w:rsidRPr="00C47C03">
        <w:rPr>
          <w:rFonts w:ascii="Bookman Old Style" w:hAnsi="Bookman Old Style" w:cs="Segoe UI"/>
          <w:b/>
          <w:color w:val="000000" w:themeColor="text1"/>
        </w:rPr>
        <w:t>?</w:t>
      </w:r>
    </w:p>
    <w:p w14:paraId="651F9823" w14:textId="77777777" w:rsidR="00E93014" w:rsidRPr="00C47C03" w:rsidRDefault="00E93014" w:rsidP="00E93014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Segoe UI"/>
          <w:color w:val="000000" w:themeColor="text1"/>
        </w:rPr>
      </w:pPr>
      <w:r w:rsidRPr="00C47C03">
        <w:rPr>
          <w:rFonts w:ascii="Bookman Old Style" w:hAnsi="Bookman Old Style" w:cs="Segoe UI"/>
          <w:color w:val="000000" w:themeColor="text1"/>
        </w:rPr>
        <w:t xml:space="preserve">Income (Corporation) tax at a standard rate of 30%. </w:t>
      </w:r>
    </w:p>
    <w:p w14:paraId="46D169A1" w14:textId="4FC741C0" w:rsidR="00E93014" w:rsidRPr="00C47C03" w:rsidRDefault="00E93014" w:rsidP="00E93014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Segoe UI"/>
          <w:color w:val="000000" w:themeColor="text1"/>
        </w:rPr>
      </w:pPr>
      <w:r w:rsidRPr="00C47C03">
        <w:rPr>
          <w:rFonts w:ascii="Bookman Old Style" w:hAnsi="Bookman Old Style" w:cs="Segoe UI"/>
          <w:color w:val="000000" w:themeColor="text1"/>
        </w:rPr>
        <w:t xml:space="preserve">Pay </w:t>
      </w:r>
      <w:proofErr w:type="gramStart"/>
      <w:r w:rsidRPr="00C47C03">
        <w:rPr>
          <w:rFonts w:ascii="Bookman Old Style" w:hAnsi="Bookman Old Style" w:cs="Segoe UI"/>
          <w:color w:val="000000" w:themeColor="text1"/>
        </w:rPr>
        <w:t>As</w:t>
      </w:r>
      <w:proofErr w:type="gramEnd"/>
      <w:r w:rsidRPr="00C47C03">
        <w:rPr>
          <w:rFonts w:ascii="Bookman Old Style" w:hAnsi="Bookman Old Style" w:cs="Segoe UI"/>
          <w:color w:val="000000" w:themeColor="text1"/>
        </w:rPr>
        <w:t xml:space="preserve"> You Earn (PAYE) if you have employees that earn salary abo</w:t>
      </w:r>
      <w:r w:rsidR="00A47176" w:rsidRPr="00C47C03">
        <w:rPr>
          <w:rFonts w:ascii="Bookman Old Style" w:hAnsi="Bookman Old Style" w:cs="Segoe UI"/>
          <w:color w:val="000000" w:themeColor="text1"/>
        </w:rPr>
        <w:t xml:space="preserve">ve </w:t>
      </w:r>
      <w:proofErr w:type="spellStart"/>
      <w:r w:rsidR="00A47176" w:rsidRPr="00C47C03">
        <w:rPr>
          <w:rFonts w:ascii="Bookman Old Style" w:hAnsi="Bookman Old Style" w:cs="Segoe UI"/>
          <w:color w:val="000000" w:themeColor="text1"/>
        </w:rPr>
        <w:t>Ugx</w:t>
      </w:r>
      <w:proofErr w:type="spellEnd"/>
      <w:r w:rsidR="00A47176" w:rsidRPr="00C47C03">
        <w:rPr>
          <w:rFonts w:ascii="Bookman Old Style" w:hAnsi="Bookman Old Style" w:cs="Segoe UI"/>
          <w:color w:val="000000" w:themeColor="text1"/>
        </w:rPr>
        <w:t xml:space="preserve"> 235,000</w:t>
      </w:r>
    </w:p>
    <w:p w14:paraId="29DA2CAE" w14:textId="0647DAEA" w:rsidR="00E93014" w:rsidRPr="00C47C03" w:rsidRDefault="00E93014" w:rsidP="00E93014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Segoe UI"/>
          <w:color w:val="000000" w:themeColor="text1"/>
        </w:rPr>
      </w:pPr>
      <w:r w:rsidRPr="00C47C03">
        <w:rPr>
          <w:rFonts w:ascii="Bookman Old Style" w:hAnsi="Bookman Old Style" w:cs="Segoe UI"/>
          <w:color w:val="000000" w:themeColor="text1"/>
        </w:rPr>
        <w:t>Value Added Tax (VAT)</w:t>
      </w:r>
    </w:p>
    <w:p w14:paraId="0E3C6512" w14:textId="588A3253" w:rsidR="00F2295B" w:rsidRPr="00C47C03" w:rsidRDefault="00E93014" w:rsidP="00F2295B">
      <w:pPr>
        <w:pStyle w:val="ListParagraph"/>
        <w:numPr>
          <w:ilvl w:val="0"/>
          <w:numId w:val="3"/>
        </w:numPr>
        <w:jc w:val="both"/>
        <w:rPr>
          <w:rFonts w:ascii="Bookman Old Style" w:hAnsi="Bookman Old Style" w:cs="Segoe UI"/>
          <w:color w:val="000000" w:themeColor="text1"/>
        </w:rPr>
      </w:pPr>
      <w:r w:rsidRPr="00C47C03">
        <w:rPr>
          <w:rFonts w:ascii="Bookman Old Style" w:hAnsi="Bookman Old Style" w:cs="Segoe UI"/>
          <w:color w:val="000000" w:themeColor="text1"/>
        </w:rPr>
        <w:t>Withholding tax in case you are a supplier of goods.</w:t>
      </w:r>
    </w:p>
    <w:p w14:paraId="3A0EAC2C" w14:textId="2A323420" w:rsidR="00E93014" w:rsidRPr="00C47C03" w:rsidRDefault="00E93014" w:rsidP="00AC1874">
      <w:pPr>
        <w:jc w:val="both"/>
        <w:rPr>
          <w:rFonts w:ascii="Bookman Old Style" w:hAnsi="Bookman Old Style" w:cs="Segoe UI"/>
          <w:color w:val="000000" w:themeColor="text1"/>
        </w:rPr>
      </w:pPr>
      <w:r w:rsidRPr="00C47C03">
        <w:rPr>
          <w:rFonts w:ascii="Bookman Old Style" w:hAnsi="Bookman Old Style" w:cs="Segoe UI"/>
          <w:b/>
          <w:color w:val="000000" w:themeColor="text1"/>
        </w:rPr>
        <w:t xml:space="preserve">Note </w:t>
      </w:r>
      <w:r w:rsidRPr="00C47C03">
        <w:rPr>
          <w:rFonts w:ascii="Bookman Old Style" w:hAnsi="Bookman Old Style" w:cs="Segoe UI"/>
          <w:color w:val="000000" w:themeColor="text1"/>
        </w:rPr>
        <w:t>that you’re required to file the normal tax returns for each of the tax heads above</w:t>
      </w:r>
    </w:p>
    <w:p w14:paraId="63066D24" w14:textId="33E8E3E0" w:rsidR="00A47176" w:rsidRPr="00C47C03" w:rsidRDefault="00A47176" w:rsidP="00AC1874">
      <w:pPr>
        <w:jc w:val="both"/>
        <w:rPr>
          <w:rFonts w:ascii="Bookman Old Style" w:hAnsi="Bookman Old Style" w:cs="Segoe UI"/>
          <w:b/>
          <w:color w:val="000000" w:themeColor="text1"/>
        </w:rPr>
      </w:pPr>
      <w:r w:rsidRPr="00C47C03">
        <w:rPr>
          <w:rFonts w:ascii="Bookman Old Style" w:hAnsi="Bookman Old Style" w:cs="Segoe UI"/>
          <w:b/>
          <w:color w:val="000000" w:themeColor="text1"/>
        </w:rPr>
        <w:t>Am I supposed to register for EFRIS?</w:t>
      </w:r>
    </w:p>
    <w:p w14:paraId="087AEA16" w14:textId="78BC25AF" w:rsidR="00A47176" w:rsidRPr="00C47C03" w:rsidRDefault="00A47176" w:rsidP="00AC1874">
      <w:pPr>
        <w:jc w:val="both"/>
        <w:rPr>
          <w:rFonts w:ascii="Bookman Old Style" w:hAnsi="Bookman Old Style" w:cs="Segoe UI"/>
          <w:color w:val="000000" w:themeColor="text1"/>
        </w:rPr>
      </w:pPr>
      <w:r w:rsidRPr="00C47C03">
        <w:rPr>
          <w:rFonts w:ascii="Bookman Old Style" w:hAnsi="Bookman Old Style" w:cs="Segoe UI"/>
          <w:color w:val="000000" w:themeColor="text1"/>
        </w:rPr>
        <w:t>Yes. You must register for EFRIS if you operate a business in this category.</w:t>
      </w:r>
    </w:p>
    <w:p w14:paraId="3F977FCF" w14:textId="64FEB231" w:rsidR="00A47176" w:rsidRPr="00C47C03" w:rsidRDefault="00A47176" w:rsidP="00AC1874">
      <w:pPr>
        <w:jc w:val="both"/>
        <w:rPr>
          <w:rFonts w:ascii="Bookman Old Style" w:hAnsi="Bookman Old Style" w:cs="Segoe UI"/>
          <w:color w:val="000000" w:themeColor="text1"/>
        </w:rPr>
      </w:pPr>
      <w:r w:rsidRPr="00C47C03">
        <w:rPr>
          <w:rFonts w:ascii="Bookman Old Style" w:hAnsi="Bookman Old Style" w:cs="Segoe UI"/>
          <w:color w:val="0070C0"/>
          <w:u w:val="single"/>
        </w:rPr>
        <w:t>Click here</w:t>
      </w:r>
      <w:r w:rsidRPr="00C47C03">
        <w:rPr>
          <w:rFonts w:ascii="Bookman Old Style" w:hAnsi="Bookman Old Style" w:cs="Segoe UI"/>
          <w:color w:val="0070C0"/>
        </w:rPr>
        <w:t xml:space="preserve"> </w:t>
      </w:r>
      <w:r w:rsidRPr="00C47C03">
        <w:rPr>
          <w:rFonts w:ascii="Bookman Old Style" w:hAnsi="Bookman Old Style" w:cs="Segoe UI"/>
          <w:color w:val="000000" w:themeColor="text1"/>
        </w:rPr>
        <w:t>for information on how to register for EFRIS</w:t>
      </w:r>
    </w:p>
    <w:p w14:paraId="1A06F950" w14:textId="13B709D0" w:rsidR="00A47176" w:rsidRPr="00C47C03" w:rsidRDefault="00A47176" w:rsidP="00AC1874">
      <w:pPr>
        <w:jc w:val="both"/>
        <w:rPr>
          <w:rFonts w:ascii="Bookman Old Style" w:hAnsi="Bookman Old Style" w:cs="Segoe UI"/>
          <w:b/>
          <w:color w:val="000000" w:themeColor="text1"/>
        </w:rPr>
      </w:pPr>
      <w:r w:rsidRPr="00C47C03">
        <w:rPr>
          <w:rFonts w:ascii="Bookman Old Style" w:hAnsi="Bookman Old Style" w:cs="Segoe UI"/>
          <w:b/>
          <w:color w:val="000000" w:themeColor="text1"/>
        </w:rPr>
        <w:t>How do I file returns for my business?</w:t>
      </w:r>
    </w:p>
    <w:p w14:paraId="70003019" w14:textId="6BBF6B51" w:rsidR="00A47176" w:rsidRPr="00C47C03" w:rsidRDefault="00A47176" w:rsidP="00AC1874">
      <w:pPr>
        <w:jc w:val="both"/>
        <w:rPr>
          <w:rFonts w:ascii="Bookman Old Style" w:hAnsi="Bookman Old Style" w:cs="Segoe UI"/>
          <w:color w:val="000000" w:themeColor="text1"/>
        </w:rPr>
      </w:pPr>
      <w:r w:rsidRPr="00C47C03">
        <w:rPr>
          <w:rFonts w:ascii="Bookman Old Style" w:hAnsi="Bookman Old Style" w:cs="Segoe UI"/>
          <w:color w:val="000000" w:themeColor="text1"/>
        </w:rPr>
        <w:t>You are required to file returns if you operate a business in this category</w:t>
      </w:r>
    </w:p>
    <w:p w14:paraId="298505C7" w14:textId="61498356" w:rsidR="00A47176" w:rsidRPr="00C47C03" w:rsidRDefault="00A47176" w:rsidP="00AC1874">
      <w:pPr>
        <w:jc w:val="both"/>
        <w:rPr>
          <w:rFonts w:ascii="Bookman Old Style" w:hAnsi="Bookman Old Style" w:cs="Segoe UI"/>
          <w:color w:val="000000" w:themeColor="text1"/>
        </w:rPr>
      </w:pPr>
      <w:r w:rsidRPr="00C47C03">
        <w:rPr>
          <w:rFonts w:ascii="Bookman Old Style" w:hAnsi="Bookman Old Style" w:cs="Segoe UI"/>
          <w:color w:val="0070C0"/>
          <w:u w:val="single"/>
        </w:rPr>
        <w:t>Click here</w:t>
      </w:r>
      <w:r w:rsidRPr="00C47C03">
        <w:rPr>
          <w:rFonts w:ascii="Bookman Old Style" w:hAnsi="Bookman Old Style" w:cs="Segoe UI"/>
          <w:color w:val="0070C0"/>
        </w:rPr>
        <w:t xml:space="preserve"> </w:t>
      </w:r>
      <w:r w:rsidRPr="00C47C03">
        <w:rPr>
          <w:rFonts w:ascii="Bookman Old Style" w:hAnsi="Bookman Old Style" w:cs="Segoe UI"/>
          <w:color w:val="000000" w:themeColor="text1"/>
        </w:rPr>
        <w:t>for information on how to file your returns.</w:t>
      </w:r>
    </w:p>
    <w:p w14:paraId="5C405C8C" w14:textId="77777777" w:rsidR="00B13A5E" w:rsidRPr="00C47C03" w:rsidRDefault="00B13A5E" w:rsidP="00AC1874">
      <w:pPr>
        <w:jc w:val="both"/>
        <w:rPr>
          <w:rFonts w:ascii="Bookman Old Style" w:hAnsi="Bookman Old Style" w:cs="Segoe UI"/>
          <w:color w:val="000000" w:themeColor="text1"/>
        </w:rPr>
      </w:pPr>
    </w:p>
    <w:p w14:paraId="0CD4B243" w14:textId="08A3B45E" w:rsidR="00F2295B" w:rsidRPr="00C47C03" w:rsidRDefault="00F2295B" w:rsidP="00AC1874">
      <w:pPr>
        <w:jc w:val="both"/>
        <w:rPr>
          <w:rFonts w:ascii="Bookman Old Style" w:hAnsi="Bookman Old Style" w:cs="Segoe UI"/>
          <w:b/>
          <w:color w:val="000000" w:themeColor="text1"/>
        </w:rPr>
      </w:pPr>
      <w:r w:rsidRPr="00C47C03">
        <w:rPr>
          <w:rFonts w:ascii="Bookman Old Style" w:hAnsi="Bookman Old Style" w:cs="Segoe UI"/>
          <w:b/>
          <w:color w:val="000000" w:themeColor="text1"/>
        </w:rPr>
        <w:lastRenderedPageBreak/>
        <w:t>How do I pay taxes to URA?</w:t>
      </w:r>
    </w:p>
    <w:p w14:paraId="10D4578E" w14:textId="348A3EC9" w:rsidR="00F2295B" w:rsidRPr="00C47C03" w:rsidRDefault="00F2295B" w:rsidP="00AC1874">
      <w:pPr>
        <w:jc w:val="both"/>
        <w:rPr>
          <w:rFonts w:ascii="Bookman Old Style" w:hAnsi="Bookman Old Style" w:cs="Segoe UI"/>
          <w:color w:val="000000" w:themeColor="text1"/>
        </w:rPr>
      </w:pPr>
      <w:r w:rsidRPr="00C47C03">
        <w:rPr>
          <w:rFonts w:ascii="Bookman Old Style" w:hAnsi="Bookman Old Style" w:cs="Segoe UI"/>
          <w:color w:val="000000" w:themeColor="text1"/>
        </w:rPr>
        <w:t>After filing a return, you’re required to pay taxes due using available payment platforms e.g. banks, mobile money,</w:t>
      </w:r>
      <w:r w:rsidR="00C47C03" w:rsidRPr="00C47C03">
        <w:rPr>
          <w:rFonts w:ascii="Bookman Old Style" w:hAnsi="Bookman Old Style" w:cs="Segoe UI"/>
          <w:color w:val="000000" w:themeColor="text1"/>
        </w:rPr>
        <w:t xml:space="preserve"> </w:t>
      </w:r>
      <w:r w:rsidRPr="00C47C03">
        <w:rPr>
          <w:rFonts w:ascii="Bookman Old Style" w:hAnsi="Bookman Old Style" w:cs="Segoe UI"/>
          <w:color w:val="000000" w:themeColor="text1"/>
        </w:rPr>
        <w:t>VISA, Mastercard etc.</w:t>
      </w:r>
    </w:p>
    <w:p w14:paraId="2CF2AC9F" w14:textId="143316D2" w:rsidR="00F2295B" w:rsidRDefault="00F2295B" w:rsidP="00AC1874">
      <w:pPr>
        <w:jc w:val="both"/>
        <w:rPr>
          <w:rFonts w:ascii="Bookman Old Style" w:hAnsi="Bookman Old Style" w:cs="Segoe UI"/>
          <w:color w:val="000000" w:themeColor="text1"/>
        </w:rPr>
      </w:pPr>
      <w:r w:rsidRPr="00C47C03">
        <w:rPr>
          <w:rFonts w:ascii="Bookman Old Style" w:hAnsi="Bookman Old Style" w:cs="Segoe UI"/>
          <w:color w:val="0070C0"/>
          <w:u w:val="single"/>
        </w:rPr>
        <w:t>Click here</w:t>
      </w:r>
      <w:r w:rsidRPr="00C47C03">
        <w:rPr>
          <w:rFonts w:ascii="Bookman Old Style" w:hAnsi="Bookman Old Style" w:cs="Segoe UI"/>
          <w:color w:val="0070C0"/>
        </w:rPr>
        <w:t xml:space="preserve"> </w:t>
      </w:r>
      <w:r w:rsidRPr="00C47C03">
        <w:rPr>
          <w:rFonts w:ascii="Bookman Old Style" w:hAnsi="Bookman Old Style" w:cs="Segoe UI"/>
          <w:color w:val="000000" w:themeColor="text1"/>
        </w:rPr>
        <w:t xml:space="preserve">to </w:t>
      </w:r>
      <w:r w:rsidR="005D7711" w:rsidRPr="00C47C03">
        <w:rPr>
          <w:rFonts w:ascii="Bookman Old Style" w:hAnsi="Bookman Old Style" w:cs="Segoe UI"/>
          <w:color w:val="000000" w:themeColor="text1"/>
        </w:rPr>
        <w:t>register</w:t>
      </w:r>
      <w:r w:rsidRPr="00C47C03">
        <w:rPr>
          <w:rFonts w:ascii="Bookman Old Style" w:hAnsi="Bookman Old Style" w:cs="Segoe UI"/>
          <w:color w:val="000000" w:themeColor="text1"/>
        </w:rPr>
        <w:t xml:space="preserve"> a payment</w:t>
      </w:r>
    </w:p>
    <w:p w14:paraId="06FF4199" w14:textId="23B3D4D8" w:rsidR="00F31F8E" w:rsidRDefault="00F31F8E" w:rsidP="00AC1874">
      <w:pPr>
        <w:jc w:val="both"/>
        <w:rPr>
          <w:rFonts w:ascii="Bookman Old Style" w:hAnsi="Bookman Old Style" w:cs="Segoe UI"/>
          <w:b/>
          <w:color w:val="000000" w:themeColor="text1"/>
        </w:rPr>
      </w:pPr>
      <w:r w:rsidRPr="00F31F8E">
        <w:rPr>
          <w:rFonts w:ascii="Bookman Old Style" w:hAnsi="Bookman Old Style" w:cs="Segoe UI"/>
          <w:b/>
          <w:color w:val="000000" w:themeColor="text1"/>
        </w:rPr>
        <w:t>Do I qualify for a refund?</w:t>
      </w:r>
    </w:p>
    <w:p w14:paraId="44F91CB0" w14:textId="78A4AD62" w:rsidR="00F31F8E" w:rsidRDefault="00F31F8E" w:rsidP="00AC1874">
      <w:pPr>
        <w:jc w:val="both"/>
        <w:rPr>
          <w:rFonts w:ascii="Bookman Old Style" w:hAnsi="Bookman Old Style" w:cs="Segoe UI"/>
          <w:color w:val="000000" w:themeColor="text1"/>
        </w:rPr>
      </w:pPr>
      <w:r w:rsidRPr="00F31F8E">
        <w:rPr>
          <w:rFonts w:ascii="Bookman Old Style" w:hAnsi="Bookman Old Style" w:cs="Segoe UI"/>
          <w:color w:val="000000" w:themeColor="text1"/>
        </w:rPr>
        <w:t>Yes. You qualify for a refund if you meet the tax refund criteria</w:t>
      </w:r>
      <w:r>
        <w:rPr>
          <w:rFonts w:ascii="Bookman Old Style" w:hAnsi="Bookman Old Style" w:cs="Segoe UI"/>
          <w:color w:val="000000" w:themeColor="text1"/>
        </w:rPr>
        <w:t>.</w:t>
      </w:r>
    </w:p>
    <w:p w14:paraId="609C8C19" w14:textId="44B3B609" w:rsidR="00F31F8E" w:rsidRDefault="00F31F8E" w:rsidP="00AC1874">
      <w:pPr>
        <w:jc w:val="both"/>
        <w:rPr>
          <w:rFonts w:ascii="Bookman Old Style" w:hAnsi="Bookman Old Style" w:cs="Segoe UI"/>
          <w:b/>
          <w:color w:val="000000" w:themeColor="text1"/>
        </w:rPr>
      </w:pPr>
      <w:r w:rsidRPr="00F31F8E">
        <w:rPr>
          <w:rFonts w:ascii="Bookman Old Style" w:hAnsi="Bookman Old Style" w:cs="Segoe UI"/>
          <w:b/>
          <w:color w:val="000000" w:themeColor="text1"/>
        </w:rPr>
        <w:t>When do I qualify for a refund?</w:t>
      </w:r>
    </w:p>
    <w:p w14:paraId="3D5B5887" w14:textId="73516A0D" w:rsidR="00F31F8E" w:rsidRDefault="00F31F8E" w:rsidP="00AC1874">
      <w:pPr>
        <w:jc w:val="both"/>
        <w:rPr>
          <w:rFonts w:ascii="Bookman Old Style" w:hAnsi="Bookman Old Style" w:cs="Segoe UI"/>
          <w:color w:val="000000" w:themeColor="text1"/>
        </w:rPr>
      </w:pPr>
      <w:r w:rsidRPr="00F31F8E">
        <w:rPr>
          <w:rFonts w:ascii="Bookman Old Style" w:hAnsi="Bookman Old Style" w:cs="Segoe UI"/>
          <w:color w:val="000000" w:themeColor="text1"/>
        </w:rPr>
        <w:t xml:space="preserve">You qualify for a refund if your input VAT (VAT on </w:t>
      </w:r>
      <w:proofErr w:type="spellStart"/>
      <w:r w:rsidRPr="00F31F8E">
        <w:rPr>
          <w:rFonts w:ascii="Bookman Old Style" w:hAnsi="Bookman Old Style" w:cs="Segoe UI"/>
          <w:color w:val="000000" w:themeColor="text1"/>
        </w:rPr>
        <w:t>puchases</w:t>
      </w:r>
      <w:proofErr w:type="spellEnd"/>
      <w:r w:rsidRPr="00F31F8E">
        <w:rPr>
          <w:rFonts w:ascii="Bookman Old Style" w:hAnsi="Bookman Old Style" w:cs="Segoe UI"/>
          <w:color w:val="000000" w:themeColor="text1"/>
        </w:rPr>
        <w:t>) exceeds your output VAT (VAT on sales)</w:t>
      </w:r>
    </w:p>
    <w:p w14:paraId="155E5BD4" w14:textId="2F94209B" w:rsidR="00F31F8E" w:rsidRDefault="00F31F8E" w:rsidP="00AC1874">
      <w:pPr>
        <w:jc w:val="both"/>
        <w:rPr>
          <w:rFonts w:ascii="Bookman Old Style" w:hAnsi="Bookman Old Style" w:cs="Segoe UI"/>
          <w:b/>
          <w:color w:val="000000" w:themeColor="text1"/>
        </w:rPr>
      </w:pPr>
      <w:r w:rsidRPr="00F31F8E">
        <w:rPr>
          <w:rFonts w:ascii="Bookman Old Style" w:hAnsi="Bookman Old Style" w:cs="Segoe UI"/>
          <w:b/>
          <w:color w:val="000000" w:themeColor="text1"/>
        </w:rPr>
        <w:t>How do I apply for refunds?</w:t>
      </w:r>
    </w:p>
    <w:p w14:paraId="60B3AC0E" w14:textId="06EEFEBD" w:rsidR="00F31F8E" w:rsidRPr="00F31F8E" w:rsidRDefault="00F31F8E" w:rsidP="00AC1874">
      <w:pPr>
        <w:jc w:val="both"/>
        <w:rPr>
          <w:rFonts w:ascii="Bookman Old Style" w:hAnsi="Bookman Old Style" w:cs="Segoe UI"/>
          <w:color w:val="000000" w:themeColor="text1"/>
        </w:rPr>
      </w:pPr>
      <w:bookmarkStart w:id="0" w:name="_GoBack"/>
      <w:r w:rsidRPr="00F31F8E">
        <w:rPr>
          <w:rFonts w:ascii="Bookman Old Style" w:hAnsi="Bookman Old Style" w:cs="Segoe UI"/>
          <w:color w:val="00B0F0"/>
          <w:u w:val="single"/>
        </w:rPr>
        <w:t>Click here</w:t>
      </w:r>
      <w:r w:rsidRPr="00F31F8E">
        <w:rPr>
          <w:rFonts w:ascii="Bookman Old Style" w:hAnsi="Bookman Old Style" w:cs="Segoe UI"/>
          <w:color w:val="00B0F0"/>
        </w:rPr>
        <w:t xml:space="preserve"> </w:t>
      </w:r>
      <w:r w:rsidRPr="00F31F8E">
        <w:rPr>
          <w:rFonts w:ascii="Bookman Old Style" w:hAnsi="Bookman Old Style" w:cs="Segoe UI"/>
          <w:color w:val="000000" w:themeColor="text1"/>
        </w:rPr>
        <w:t>for information on how to apply for refund</w:t>
      </w:r>
    </w:p>
    <w:bookmarkEnd w:id="0"/>
    <w:p w14:paraId="1429D003" w14:textId="1557FE53" w:rsidR="00B13A5E" w:rsidRPr="00C47C03" w:rsidRDefault="00B13A5E" w:rsidP="00AC1874">
      <w:pPr>
        <w:jc w:val="both"/>
        <w:rPr>
          <w:rFonts w:ascii="Bookman Old Style" w:hAnsi="Bookman Old Style" w:cs="Segoe UI"/>
          <w:b/>
          <w:color w:val="000000" w:themeColor="text1"/>
        </w:rPr>
      </w:pPr>
      <w:r w:rsidRPr="00C47C03">
        <w:rPr>
          <w:rFonts w:ascii="Bookman Old Style" w:hAnsi="Bookman Old Style" w:cs="Segoe UI"/>
          <w:b/>
          <w:color w:val="000000" w:themeColor="text1"/>
        </w:rPr>
        <w:t xml:space="preserve">Am I entitled to any </w:t>
      </w:r>
      <w:r w:rsidR="00C47C03" w:rsidRPr="00C47C03">
        <w:rPr>
          <w:rFonts w:ascii="Bookman Old Style" w:hAnsi="Bookman Old Style" w:cs="Segoe UI"/>
          <w:b/>
          <w:color w:val="000000" w:themeColor="text1"/>
        </w:rPr>
        <w:t xml:space="preserve">tax </w:t>
      </w:r>
      <w:r w:rsidRPr="00C47C03">
        <w:rPr>
          <w:rFonts w:ascii="Bookman Old Style" w:hAnsi="Bookman Old Style" w:cs="Segoe UI"/>
          <w:b/>
          <w:color w:val="000000" w:themeColor="text1"/>
        </w:rPr>
        <w:t>incentives?</w:t>
      </w:r>
    </w:p>
    <w:p w14:paraId="1095C035" w14:textId="50B8C556" w:rsidR="00B13A5E" w:rsidRPr="00C47C03" w:rsidRDefault="00B13A5E" w:rsidP="00AC1874">
      <w:pPr>
        <w:jc w:val="both"/>
        <w:rPr>
          <w:rFonts w:ascii="Bookman Old Style" w:hAnsi="Bookman Old Style" w:cs="Segoe UI"/>
          <w:color w:val="000000" w:themeColor="text1"/>
        </w:rPr>
      </w:pPr>
      <w:r w:rsidRPr="00C47C03">
        <w:rPr>
          <w:rFonts w:ascii="Bookman Old Style" w:hAnsi="Bookman Old Style" w:cs="Segoe UI"/>
          <w:color w:val="000000" w:themeColor="text1"/>
        </w:rPr>
        <w:t>Yes. There are incentives available for you which include:</w:t>
      </w:r>
    </w:p>
    <w:p w14:paraId="21EF1C37" w14:textId="1B0FD325" w:rsidR="00C47C03" w:rsidRPr="00C47C03" w:rsidRDefault="003B6AAE" w:rsidP="00C47C03">
      <w:pPr>
        <w:jc w:val="both"/>
        <w:rPr>
          <w:rFonts w:ascii="Bookman Old Style" w:hAnsi="Bookman Old Style"/>
          <w:b/>
        </w:rPr>
      </w:pPr>
      <w:r w:rsidRPr="00C47C03">
        <w:rPr>
          <w:rFonts w:ascii="Bookman Old Style" w:hAnsi="Bookman Old Style"/>
          <w:b/>
        </w:rPr>
        <w:t xml:space="preserve">Tax incentives under </w:t>
      </w:r>
      <w:r>
        <w:rPr>
          <w:rFonts w:ascii="Bookman Old Style" w:hAnsi="Bookman Old Style"/>
          <w:b/>
        </w:rPr>
        <w:t>D</w:t>
      </w:r>
      <w:r w:rsidRPr="00C47C03">
        <w:rPr>
          <w:rFonts w:ascii="Bookman Old Style" w:hAnsi="Bookman Old Style"/>
          <w:b/>
        </w:rPr>
        <w:t xml:space="preserve">omestic </w:t>
      </w:r>
      <w:r>
        <w:rPr>
          <w:rFonts w:ascii="Bookman Old Style" w:hAnsi="Bookman Old Style"/>
          <w:b/>
        </w:rPr>
        <w:t>T</w:t>
      </w:r>
      <w:r w:rsidRPr="00C47C03">
        <w:rPr>
          <w:rFonts w:ascii="Bookman Old Style" w:hAnsi="Bookman Old Style"/>
          <w:b/>
        </w:rPr>
        <w:t>axes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54"/>
        <w:gridCol w:w="2253"/>
        <w:gridCol w:w="1303"/>
        <w:gridCol w:w="3966"/>
      </w:tblGrid>
      <w:tr w:rsidR="00C47C03" w:rsidRPr="00C47C03" w14:paraId="22D6CA67" w14:textId="77777777" w:rsidTr="00C47C03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3E59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  <w:b/>
              </w:rPr>
              <w:t>INCOME TAX</w:t>
            </w:r>
          </w:p>
        </w:tc>
      </w:tr>
      <w:tr w:rsidR="00C47C03" w:rsidRPr="00C47C03" w14:paraId="2C4E53D9" w14:textId="77777777" w:rsidTr="003B6AAE">
        <w:tc>
          <w:tcPr>
            <w:tcW w:w="2254" w:type="dxa"/>
            <w:tcBorders>
              <w:top w:val="single" w:sz="4" w:space="0" w:color="auto"/>
            </w:tcBorders>
          </w:tcPr>
          <w:p w14:paraId="251FA4D1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  <w:b/>
              </w:rPr>
              <w:t>Beneficiary</w:t>
            </w:r>
          </w:p>
        </w:tc>
        <w:tc>
          <w:tcPr>
            <w:tcW w:w="2253" w:type="dxa"/>
            <w:tcBorders>
              <w:top w:val="single" w:sz="4" w:space="0" w:color="auto"/>
            </w:tcBorders>
          </w:tcPr>
          <w:p w14:paraId="4A029FC5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  <w:b/>
              </w:rPr>
              <w:t>Incentives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61B82B18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  <w:b/>
              </w:rPr>
              <w:t>Period of Incentive</w:t>
            </w:r>
          </w:p>
        </w:tc>
        <w:tc>
          <w:tcPr>
            <w:tcW w:w="3966" w:type="dxa"/>
            <w:tcBorders>
              <w:top w:val="single" w:sz="4" w:space="0" w:color="auto"/>
            </w:tcBorders>
          </w:tcPr>
          <w:p w14:paraId="715A3273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  <w:b/>
              </w:rPr>
              <w:t>Conditions for the Tax Incentive</w:t>
            </w:r>
          </w:p>
        </w:tc>
      </w:tr>
      <w:tr w:rsidR="00C47C03" w:rsidRPr="00C47C03" w14:paraId="017E556A" w14:textId="77777777" w:rsidTr="003B6AAE">
        <w:tc>
          <w:tcPr>
            <w:tcW w:w="2254" w:type="dxa"/>
          </w:tcPr>
          <w:p w14:paraId="1A477BDC" w14:textId="43750053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Private employers of persons with disabilities (PWDs)</w:t>
            </w:r>
          </w:p>
        </w:tc>
        <w:tc>
          <w:tcPr>
            <w:tcW w:w="2253" w:type="dxa"/>
          </w:tcPr>
          <w:p w14:paraId="436757ED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Deduction of 2% Income tax for employers that employ PWDs</w:t>
            </w:r>
          </w:p>
        </w:tc>
        <w:tc>
          <w:tcPr>
            <w:tcW w:w="1303" w:type="dxa"/>
          </w:tcPr>
          <w:p w14:paraId="6EA507FF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Indefinite</w:t>
            </w:r>
          </w:p>
        </w:tc>
        <w:tc>
          <w:tcPr>
            <w:tcW w:w="3966" w:type="dxa"/>
          </w:tcPr>
          <w:p w14:paraId="4C30A6DD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5% of employees must be PWDs</w:t>
            </w:r>
          </w:p>
        </w:tc>
      </w:tr>
      <w:tr w:rsidR="00C47C03" w:rsidRPr="00C47C03" w14:paraId="7247B472" w14:textId="77777777" w:rsidTr="003B6AAE">
        <w:tc>
          <w:tcPr>
            <w:tcW w:w="2254" w:type="dxa"/>
          </w:tcPr>
          <w:p w14:paraId="65E6EFE7" w14:textId="04F95425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Compliant taxpayers</w:t>
            </w:r>
          </w:p>
        </w:tc>
        <w:tc>
          <w:tcPr>
            <w:tcW w:w="2253" w:type="dxa"/>
          </w:tcPr>
          <w:p w14:paraId="678E51CC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6% WHT exemption on payment for goods and services and professional fees</w:t>
            </w:r>
          </w:p>
        </w:tc>
        <w:tc>
          <w:tcPr>
            <w:tcW w:w="1303" w:type="dxa"/>
          </w:tcPr>
          <w:p w14:paraId="59E4F9FE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12 months renewable</w:t>
            </w:r>
          </w:p>
        </w:tc>
        <w:tc>
          <w:tcPr>
            <w:tcW w:w="3966" w:type="dxa"/>
          </w:tcPr>
          <w:p w14:paraId="40575AEB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Where the Commissioner is satisfied that the taxpayer has regularly complied with the obligations under the tax laws</w:t>
            </w:r>
          </w:p>
        </w:tc>
      </w:tr>
      <w:tr w:rsidR="00C47C03" w:rsidRPr="00C47C03" w14:paraId="4A4805B9" w14:textId="77777777" w:rsidTr="003B6AAE">
        <w:tc>
          <w:tcPr>
            <w:tcW w:w="2254" w:type="dxa"/>
          </w:tcPr>
          <w:p w14:paraId="6627F175" w14:textId="58337EE4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All taxpayers</w:t>
            </w:r>
          </w:p>
        </w:tc>
        <w:tc>
          <w:tcPr>
            <w:tcW w:w="2253" w:type="dxa"/>
          </w:tcPr>
          <w:p w14:paraId="25670BE4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100% deduction of training expenditure</w:t>
            </w:r>
          </w:p>
        </w:tc>
        <w:tc>
          <w:tcPr>
            <w:tcW w:w="1303" w:type="dxa"/>
          </w:tcPr>
          <w:p w14:paraId="7D40035D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Indefinite</w:t>
            </w:r>
          </w:p>
        </w:tc>
        <w:tc>
          <w:tcPr>
            <w:tcW w:w="3966" w:type="dxa"/>
          </w:tcPr>
          <w:p w14:paraId="1BCE0950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Employers who train permanent residents or provide tertiary education not exceeding in the aggregate 5 years</w:t>
            </w:r>
          </w:p>
        </w:tc>
      </w:tr>
      <w:tr w:rsidR="00C47C03" w:rsidRPr="00C47C03" w14:paraId="7E60118D" w14:textId="77777777" w:rsidTr="003B6AAE">
        <w:tc>
          <w:tcPr>
            <w:tcW w:w="2254" w:type="dxa"/>
          </w:tcPr>
          <w:p w14:paraId="481064DF" w14:textId="1A073C8C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All taxpayers</w:t>
            </w:r>
          </w:p>
        </w:tc>
        <w:tc>
          <w:tcPr>
            <w:tcW w:w="2253" w:type="dxa"/>
          </w:tcPr>
          <w:p w14:paraId="37FA909C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 xml:space="preserve">Initial allowance and Depreciation allowance: Initial Allowance – capital deduction of 50% of qualifying Plant &amp; machinery and 20% on Industrial building placed in the radius of 50Km outside the boundaries of Kampala. Person who places </w:t>
            </w:r>
            <w:r w:rsidRPr="00C47C03">
              <w:rPr>
                <w:rFonts w:ascii="Bookman Old Style" w:hAnsi="Bookman Old Style"/>
              </w:rPr>
              <w:lastRenderedPageBreak/>
              <w:t xml:space="preserve">depreciable assets in service e.g. computers, automobiles, specialized trucks, tractors, plant and machinery used in farming, manufacturing or mining operations, trailers </w:t>
            </w:r>
            <w:proofErr w:type="spellStart"/>
            <w:r w:rsidRPr="00C47C03">
              <w:rPr>
                <w:rFonts w:ascii="Bookman Old Style" w:hAnsi="Bookman Old Style"/>
              </w:rPr>
              <w:t>andtrailer</w:t>
            </w:r>
            <w:proofErr w:type="spellEnd"/>
            <w:r w:rsidRPr="00C47C03">
              <w:rPr>
                <w:rFonts w:ascii="Bookman Old Style" w:hAnsi="Bookman Old Style"/>
              </w:rPr>
              <w:t xml:space="preserve"> mounted containers; and Industrial building deduction of 5% on cost of construction straight line method for 20 years.</w:t>
            </w:r>
          </w:p>
        </w:tc>
        <w:tc>
          <w:tcPr>
            <w:tcW w:w="1303" w:type="dxa"/>
          </w:tcPr>
          <w:p w14:paraId="228A8318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lastRenderedPageBreak/>
              <w:t>Indefinite</w:t>
            </w:r>
          </w:p>
        </w:tc>
        <w:tc>
          <w:tcPr>
            <w:tcW w:w="3966" w:type="dxa"/>
          </w:tcPr>
          <w:p w14:paraId="36D40211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All taxpayers with depreciable assets</w:t>
            </w:r>
          </w:p>
        </w:tc>
      </w:tr>
      <w:tr w:rsidR="00C47C03" w:rsidRPr="00C47C03" w14:paraId="28C8680B" w14:textId="77777777" w:rsidTr="003B6AAE">
        <w:tc>
          <w:tcPr>
            <w:tcW w:w="2254" w:type="dxa"/>
          </w:tcPr>
          <w:p w14:paraId="468E4416" w14:textId="226EDE22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All taxpayers</w:t>
            </w:r>
          </w:p>
        </w:tc>
        <w:tc>
          <w:tcPr>
            <w:tcW w:w="2253" w:type="dxa"/>
          </w:tcPr>
          <w:p w14:paraId="5AD6CF31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Carry forward losses: Assessed loss is carried forward as a deduction in the following year of income.</w:t>
            </w:r>
          </w:p>
        </w:tc>
        <w:tc>
          <w:tcPr>
            <w:tcW w:w="1303" w:type="dxa"/>
          </w:tcPr>
          <w:p w14:paraId="7DD76469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Duration of the loss</w:t>
            </w:r>
          </w:p>
        </w:tc>
        <w:tc>
          <w:tcPr>
            <w:tcW w:w="3966" w:type="dxa"/>
          </w:tcPr>
          <w:p w14:paraId="4B3419A3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All taxpayers</w:t>
            </w:r>
          </w:p>
        </w:tc>
      </w:tr>
    </w:tbl>
    <w:p w14:paraId="5DBB1E23" w14:textId="77777777" w:rsidR="00C47C03" w:rsidRPr="00C47C03" w:rsidRDefault="00C47C03" w:rsidP="003B6AAE">
      <w:pPr>
        <w:rPr>
          <w:rFonts w:ascii="Bookman Old Style" w:hAnsi="Bookman Old Style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014"/>
      </w:tblGrid>
      <w:tr w:rsidR="00C47C03" w:rsidRPr="00C47C03" w14:paraId="3FD3D991" w14:textId="77777777" w:rsidTr="00496EEA">
        <w:tc>
          <w:tcPr>
            <w:tcW w:w="9776" w:type="dxa"/>
            <w:gridSpan w:val="4"/>
          </w:tcPr>
          <w:p w14:paraId="6E8001D9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  <w:b/>
              </w:rPr>
              <w:t>VAT ACT</w:t>
            </w:r>
          </w:p>
        </w:tc>
      </w:tr>
      <w:tr w:rsidR="00C47C03" w:rsidRPr="00C47C03" w14:paraId="11BEF9A6" w14:textId="77777777" w:rsidTr="00496EEA">
        <w:tc>
          <w:tcPr>
            <w:tcW w:w="2254" w:type="dxa"/>
          </w:tcPr>
          <w:p w14:paraId="3D4E73B5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  <w:b/>
              </w:rPr>
              <w:t>Beneficiary</w:t>
            </w:r>
          </w:p>
        </w:tc>
        <w:tc>
          <w:tcPr>
            <w:tcW w:w="2254" w:type="dxa"/>
          </w:tcPr>
          <w:p w14:paraId="05B9AD0A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  <w:b/>
              </w:rPr>
              <w:t>Incentives</w:t>
            </w:r>
          </w:p>
        </w:tc>
        <w:tc>
          <w:tcPr>
            <w:tcW w:w="2254" w:type="dxa"/>
          </w:tcPr>
          <w:p w14:paraId="3F301AA5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  <w:b/>
              </w:rPr>
              <w:t>Period of Incentive</w:t>
            </w:r>
          </w:p>
        </w:tc>
        <w:tc>
          <w:tcPr>
            <w:tcW w:w="3014" w:type="dxa"/>
          </w:tcPr>
          <w:p w14:paraId="337B06C1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  <w:b/>
              </w:rPr>
              <w:t>Conditions for the Tax incentive</w:t>
            </w:r>
          </w:p>
        </w:tc>
      </w:tr>
      <w:tr w:rsidR="00C47C03" w:rsidRPr="00C47C03" w14:paraId="487EDAC9" w14:textId="77777777" w:rsidTr="00496EEA">
        <w:tc>
          <w:tcPr>
            <w:tcW w:w="2254" w:type="dxa"/>
          </w:tcPr>
          <w:p w14:paraId="667C1F7B" w14:textId="02B86ECF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VAT Registered taxpayers</w:t>
            </w:r>
          </w:p>
        </w:tc>
        <w:tc>
          <w:tcPr>
            <w:tcW w:w="2254" w:type="dxa"/>
          </w:tcPr>
          <w:p w14:paraId="42D0AB24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VAT registered persons claim all the VAT incurred.</w:t>
            </w:r>
          </w:p>
        </w:tc>
        <w:tc>
          <w:tcPr>
            <w:tcW w:w="2254" w:type="dxa"/>
          </w:tcPr>
          <w:p w14:paraId="5A426EC6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Indefinite</w:t>
            </w:r>
          </w:p>
        </w:tc>
        <w:tc>
          <w:tcPr>
            <w:tcW w:w="3014" w:type="dxa"/>
          </w:tcPr>
          <w:p w14:paraId="41A094F2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Turnover of UGX 150m in any 12-month period for first time registration, ability to keep proper books of accounts and making taxable supplies.</w:t>
            </w:r>
          </w:p>
        </w:tc>
      </w:tr>
      <w:tr w:rsidR="00C47C03" w:rsidRPr="00C47C03" w14:paraId="4DA46262" w14:textId="77777777" w:rsidTr="00496EEA">
        <w:tc>
          <w:tcPr>
            <w:tcW w:w="2254" w:type="dxa"/>
          </w:tcPr>
          <w:p w14:paraId="459C26D0" w14:textId="6CBFD8AA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Contractors executing aid</w:t>
            </w:r>
            <w:r w:rsidR="003B6AAE">
              <w:rPr>
                <w:rFonts w:ascii="Bookman Old Style" w:hAnsi="Bookman Old Style"/>
              </w:rPr>
              <w:t xml:space="preserve"> </w:t>
            </w:r>
            <w:r w:rsidRPr="00C47C03">
              <w:rPr>
                <w:rFonts w:ascii="Bookman Old Style" w:hAnsi="Bookman Old Style"/>
              </w:rPr>
              <w:t>funded projects</w:t>
            </w:r>
          </w:p>
        </w:tc>
        <w:tc>
          <w:tcPr>
            <w:tcW w:w="2254" w:type="dxa"/>
          </w:tcPr>
          <w:p w14:paraId="1289D295" w14:textId="4A97D5AE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Deemed VAT: Tax payable on a taxable supply made by a supplier to a contractor executing an aid</w:t>
            </w:r>
            <w:r w:rsidR="003B6AAE">
              <w:rPr>
                <w:rFonts w:ascii="Bookman Old Style" w:hAnsi="Bookman Old Style"/>
              </w:rPr>
              <w:t xml:space="preserve"> </w:t>
            </w:r>
            <w:r w:rsidRPr="00C47C03">
              <w:rPr>
                <w:rFonts w:ascii="Bookman Old Style" w:hAnsi="Bookman Old Style"/>
              </w:rPr>
              <w:t xml:space="preserve">funded project is deemed to have been paid by the contractor provided the supply is for use by the contractor solely and </w:t>
            </w:r>
            <w:r w:rsidRPr="00C47C03">
              <w:rPr>
                <w:rFonts w:ascii="Bookman Old Style" w:hAnsi="Bookman Old Style"/>
              </w:rPr>
              <w:lastRenderedPageBreak/>
              <w:t>exclusively for the aid funded project.</w:t>
            </w:r>
          </w:p>
        </w:tc>
        <w:tc>
          <w:tcPr>
            <w:tcW w:w="2254" w:type="dxa"/>
          </w:tcPr>
          <w:p w14:paraId="4C604983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lastRenderedPageBreak/>
              <w:t>Duration of the project</w:t>
            </w:r>
          </w:p>
        </w:tc>
        <w:tc>
          <w:tcPr>
            <w:tcW w:w="3014" w:type="dxa"/>
          </w:tcPr>
          <w:p w14:paraId="24F106F3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Contractors executing aid- funded projects</w:t>
            </w:r>
          </w:p>
        </w:tc>
      </w:tr>
      <w:tr w:rsidR="00C47C03" w:rsidRPr="00C47C03" w14:paraId="4CEE802B" w14:textId="77777777" w:rsidTr="00496EEA">
        <w:tc>
          <w:tcPr>
            <w:tcW w:w="2254" w:type="dxa"/>
          </w:tcPr>
          <w:p w14:paraId="365F15BB" w14:textId="311128E0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Exporters</w:t>
            </w:r>
          </w:p>
        </w:tc>
        <w:tc>
          <w:tcPr>
            <w:tcW w:w="2254" w:type="dxa"/>
          </w:tcPr>
          <w:p w14:paraId="78D16F63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Zero rating</w:t>
            </w:r>
          </w:p>
        </w:tc>
        <w:tc>
          <w:tcPr>
            <w:tcW w:w="2254" w:type="dxa"/>
          </w:tcPr>
          <w:p w14:paraId="15AB1B9C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Indefinite</w:t>
            </w:r>
          </w:p>
        </w:tc>
        <w:tc>
          <w:tcPr>
            <w:tcW w:w="3014" w:type="dxa"/>
          </w:tcPr>
          <w:p w14:paraId="604EDFD9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All exporters</w:t>
            </w:r>
          </w:p>
        </w:tc>
      </w:tr>
      <w:tr w:rsidR="00C47C03" w:rsidRPr="00C47C03" w14:paraId="4F431029" w14:textId="77777777" w:rsidTr="00496EEA">
        <w:tc>
          <w:tcPr>
            <w:tcW w:w="2254" w:type="dxa"/>
          </w:tcPr>
          <w:p w14:paraId="74B7C085" w14:textId="7A59DB89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Suppliers to government</w:t>
            </w:r>
          </w:p>
        </w:tc>
        <w:tc>
          <w:tcPr>
            <w:tcW w:w="2254" w:type="dxa"/>
          </w:tcPr>
          <w:p w14:paraId="4861926C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Cash basis accounting for VAT on supplies made to government</w:t>
            </w:r>
          </w:p>
        </w:tc>
        <w:tc>
          <w:tcPr>
            <w:tcW w:w="2254" w:type="dxa"/>
          </w:tcPr>
          <w:p w14:paraId="623B067C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Indefinite</w:t>
            </w:r>
          </w:p>
        </w:tc>
        <w:tc>
          <w:tcPr>
            <w:tcW w:w="3014" w:type="dxa"/>
          </w:tcPr>
          <w:p w14:paraId="0D74A74E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VAT registered suppliers</w:t>
            </w:r>
          </w:p>
        </w:tc>
      </w:tr>
      <w:tr w:rsidR="00C47C03" w:rsidRPr="00C47C03" w14:paraId="75E7DFB2" w14:textId="77777777" w:rsidTr="00496EEA">
        <w:tc>
          <w:tcPr>
            <w:tcW w:w="2254" w:type="dxa"/>
          </w:tcPr>
          <w:p w14:paraId="5ACFD0E8" w14:textId="7819B35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Suppliers of oxygen for medical use</w:t>
            </w:r>
          </w:p>
        </w:tc>
        <w:tc>
          <w:tcPr>
            <w:tcW w:w="2254" w:type="dxa"/>
          </w:tcPr>
          <w:p w14:paraId="718E3037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Exempting the supply of oxygen</w:t>
            </w:r>
          </w:p>
        </w:tc>
        <w:tc>
          <w:tcPr>
            <w:tcW w:w="2254" w:type="dxa"/>
          </w:tcPr>
          <w:p w14:paraId="76DCA94F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Indefinite</w:t>
            </w:r>
          </w:p>
        </w:tc>
        <w:tc>
          <w:tcPr>
            <w:tcW w:w="3014" w:type="dxa"/>
          </w:tcPr>
          <w:p w14:paraId="0A583B4E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Oxygen for medical use</w:t>
            </w:r>
          </w:p>
        </w:tc>
      </w:tr>
      <w:tr w:rsidR="00C47C03" w:rsidRPr="00C47C03" w14:paraId="087E33B3" w14:textId="77777777" w:rsidTr="00496EEA">
        <w:tc>
          <w:tcPr>
            <w:tcW w:w="2254" w:type="dxa"/>
          </w:tcPr>
          <w:p w14:paraId="5B7DB0FD" w14:textId="1FFE8CF8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Suppliers of assistive devices for persons with disability</w:t>
            </w:r>
          </w:p>
        </w:tc>
        <w:tc>
          <w:tcPr>
            <w:tcW w:w="2254" w:type="dxa"/>
          </w:tcPr>
          <w:p w14:paraId="7FFBC787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Exempting the supply of assistive devices for persons with disability.</w:t>
            </w:r>
          </w:p>
        </w:tc>
        <w:tc>
          <w:tcPr>
            <w:tcW w:w="2254" w:type="dxa"/>
          </w:tcPr>
          <w:p w14:paraId="79227C47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Indefinite</w:t>
            </w:r>
          </w:p>
        </w:tc>
        <w:tc>
          <w:tcPr>
            <w:tcW w:w="3014" w:type="dxa"/>
          </w:tcPr>
          <w:p w14:paraId="3B06A1E9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Assistive devices must be for use by persons with disability</w:t>
            </w:r>
          </w:p>
        </w:tc>
      </w:tr>
      <w:tr w:rsidR="00C47C03" w:rsidRPr="00C47C03" w14:paraId="5563F7E8" w14:textId="77777777" w:rsidTr="00496EEA">
        <w:tc>
          <w:tcPr>
            <w:tcW w:w="2254" w:type="dxa"/>
          </w:tcPr>
          <w:p w14:paraId="6C921B83" w14:textId="45781452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Suppliers of educational materials</w:t>
            </w:r>
          </w:p>
        </w:tc>
        <w:tc>
          <w:tcPr>
            <w:tcW w:w="2254" w:type="dxa"/>
          </w:tcPr>
          <w:p w14:paraId="3C36675A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Zero rating of supply of educational materials.</w:t>
            </w:r>
          </w:p>
        </w:tc>
        <w:tc>
          <w:tcPr>
            <w:tcW w:w="2254" w:type="dxa"/>
          </w:tcPr>
          <w:p w14:paraId="0E27BDCB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Indefinite</w:t>
            </w:r>
          </w:p>
        </w:tc>
        <w:tc>
          <w:tcPr>
            <w:tcW w:w="3014" w:type="dxa"/>
          </w:tcPr>
          <w:p w14:paraId="25A8BCE9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Includes educational materials manufactured in Uganda and the partner states of the EAC</w:t>
            </w:r>
          </w:p>
        </w:tc>
      </w:tr>
      <w:tr w:rsidR="00C47C03" w:rsidRPr="00C47C03" w14:paraId="42A2F861" w14:textId="77777777" w:rsidTr="00496EEA">
        <w:tc>
          <w:tcPr>
            <w:tcW w:w="2254" w:type="dxa"/>
          </w:tcPr>
          <w:p w14:paraId="772A6122" w14:textId="4AD250B0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Suppliers and manufacturers of menstrual cups</w:t>
            </w:r>
          </w:p>
        </w:tc>
        <w:tc>
          <w:tcPr>
            <w:tcW w:w="2254" w:type="dxa"/>
          </w:tcPr>
          <w:p w14:paraId="2FDD5E19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Zero rating the supply of menstrual cups and inputs for their manufacture.</w:t>
            </w:r>
          </w:p>
        </w:tc>
        <w:tc>
          <w:tcPr>
            <w:tcW w:w="2254" w:type="dxa"/>
          </w:tcPr>
          <w:p w14:paraId="5A6FAB97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Indefinite</w:t>
            </w:r>
          </w:p>
        </w:tc>
        <w:tc>
          <w:tcPr>
            <w:tcW w:w="3014" w:type="dxa"/>
          </w:tcPr>
          <w:p w14:paraId="091696C7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Suppliers and manufacturers of menstrual cups</w:t>
            </w:r>
          </w:p>
        </w:tc>
      </w:tr>
    </w:tbl>
    <w:p w14:paraId="011F81E6" w14:textId="77777777" w:rsidR="00C47C03" w:rsidRPr="00C47C03" w:rsidRDefault="00C47C03" w:rsidP="003B6AAE">
      <w:pPr>
        <w:rPr>
          <w:rFonts w:ascii="Bookman Old Style" w:hAnsi="Bookman Old Style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3014"/>
      </w:tblGrid>
      <w:tr w:rsidR="00C47C03" w:rsidRPr="00C47C03" w14:paraId="605D97A0" w14:textId="77777777" w:rsidTr="00496EEA">
        <w:tc>
          <w:tcPr>
            <w:tcW w:w="9776" w:type="dxa"/>
            <w:gridSpan w:val="4"/>
          </w:tcPr>
          <w:p w14:paraId="30C7142C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  <w:b/>
              </w:rPr>
              <w:t>STAMP DUTY ACT</w:t>
            </w:r>
          </w:p>
        </w:tc>
      </w:tr>
      <w:tr w:rsidR="00C47C03" w:rsidRPr="00C47C03" w14:paraId="51E20181" w14:textId="77777777" w:rsidTr="00496EEA">
        <w:tc>
          <w:tcPr>
            <w:tcW w:w="2254" w:type="dxa"/>
          </w:tcPr>
          <w:p w14:paraId="018ED0F3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  <w:b/>
              </w:rPr>
              <w:t>Beneficiary</w:t>
            </w:r>
          </w:p>
        </w:tc>
        <w:tc>
          <w:tcPr>
            <w:tcW w:w="2254" w:type="dxa"/>
          </w:tcPr>
          <w:p w14:paraId="5EF2A0CA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  <w:b/>
              </w:rPr>
              <w:t>Incentives</w:t>
            </w:r>
          </w:p>
        </w:tc>
        <w:tc>
          <w:tcPr>
            <w:tcW w:w="2254" w:type="dxa"/>
          </w:tcPr>
          <w:p w14:paraId="1D0F4D2A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  <w:b/>
              </w:rPr>
              <w:t>Period of Incentive</w:t>
            </w:r>
          </w:p>
        </w:tc>
        <w:tc>
          <w:tcPr>
            <w:tcW w:w="3014" w:type="dxa"/>
          </w:tcPr>
          <w:p w14:paraId="6F0FF2C9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  <w:b/>
              </w:rPr>
              <w:t>Tax incentive</w:t>
            </w:r>
          </w:p>
        </w:tc>
      </w:tr>
      <w:tr w:rsidR="00C47C03" w:rsidRPr="00C47C03" w14:paraId="46FD6F69" w14:textId="77777777" w:rsidTr="00496EEA">
        <w:tc>
          <w:tcPr>
            <w:tcW w:w="2254" w:type="dxa"/>
          </w:tcPr>
          <w:p w14:paraId="66608EB3" w14:textId="0AE2B5B0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Loan applicants</w:t>
            </w:r>
          </w:p>
        </w:tc>
        <w:tc>
          <w:tcPr>
            <w:tcW w:w="2254" w:type="dxa"/>
          </w:tcPr>
          <w:p w14:paraId="214F44E4" w14:textId="016E51CC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NIL stamp duty on an agreement relating to the deposit of title</w:t>
            </w:r>
            <w:r w:rsidR="00496EEA">
              <w:rPr>
                <w:rFonts w:ascii="Bookman Old Style" w:hAnsi="Bookman Old Style"/>
              </w:rPr>
              <w:t xml:space="preserve"> </w:t>
            </w:r>
            <w:r w:rsidRPr="00C47C03">
              <w:rPr>
                <w:rFonts w:ascii="Bookman Old Style" w:hAnsi="Bookman Old Style"/>
              </w:rPr>
              <w:t>deeds, pawn pledge-of the total value.</w:t>
            </w:r>
          </w:p>
        </w:tc>
        <w:tc>
          <w:tcPr>
            <w:tcW w:w="2254" w:type="dxa"/>
          </w:tcPr>
          <w:p w14:paraId="7912ACD3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Indefinite</w:t>
            </w:r>
          </w:p>
        </w:tc>
        <w:tc>
          <w:tcPr>
            <w:tcW w:w="3014" w:type="dxa"/>
          </w:tcPr>
          <w:p w14:paraId="5C7D1E3A" w14:textId="0044BB22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Agreement relating to the deposit of title</w:t>
            </w:r>
            <w:r w:rsidR="00496EEA">
              <w:rPr>
                <w:rFonts w:ascii="Bookman Old Style" w:hAnsi="Bookman Old Style"/>
              </w:rPr>
              <w:t xml:space="preserve"> </w:t>
            </w:r>
            <w:r w:rsidRPr="00C47C03">
              <w:rPr>
                <w:rFonts w:ascii="Bookman Old Style" w:hAnsi="Bookman Old Style"/>
              </w:rPr>
              <w:t>deeds, pawn pledge-of the total value.</w:t>
            </w:r>
          </w:p>
        </w:tc>
      </w:tr>
      <w:tr w:rsidR="00C47C03" w:rsidRPr="00C47C03" w14:paraId="74495EA8" w14:textId="77777777" w:rsidTr="00496EEA">
        <w:tc>
          <w:tcPr>
            <w:tcW w:w="2254" w:type="dxa"/>
          </w:tcPr>
          <w:p w14:paraId="03A7EEE8" w14:textId="39D90E2A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Loan applicants</w:t>
            </w:r>
          </w:p>
        </w:tc>
        <w:tc>
          <w:tcPr>
            <w:tcW w:w="2254" w:type="dxa"/>
          </w:tcPr>
          <w:p w14:paraId="5C84F300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NIL stamp duty on security bond or mortgage deed.</w:t>
            </w:r>
          </w:p>
        </w:tc>
        <w:tc>
          <w:tcPr>
            <w:tcW w:w="2254" w:type="dxa"/>
          </w:tcPr>
          <w:p w14:paraId="736B3418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>Indefinite</w:t>
            </w:r>
          </w:p>
        </w:tc>
        <w:tc>
          <w:tcPr>
            <w:tcW w:w="3014" w:type="dxa"/>
          </w:tcPr>
          <w:p w14:paraId="72BA688A" w14:textId="77777777" w:rsidR="00C47C03" w:rsidRPr="00C47C03" w:rsidRDefault="00C47C03" w:rsidP="003B6AAE">
            <w:pPr>
              <w:rPr>
                <w:rFonts w:ascii="Bookman Old Style" w:hAnsi="Bookman Old Style"/>
                <w:b/>
              </w:rPr>
            </w:pPr>
            <w:r w:rsidRPr="00C47C03">
              <w:rPr>
                <w:rFonts w:ascii="Bookman Old Style" w:hAnsi="Bookman Old Style"/>
              </w:rPr>
              <w:t xml:space="preserve">Security bond or mortgage deed executed by way of security for the due execution of an office, or to account for money or other property received </w:t>
            </w:r>
            <w:proofErr w:type="gramStart"/>
            <w:r w:rsidRPr="00C47C03">
              <w:rPr>
                <w:rFonts w:ascii="Bookman Old Style" w:hAnsi="Bookman Old Style"/>
              </w:rPr>
              <w:t>by virtue of</w:t>
            </w:r>
            <w:proofErr w:type="gramEnd"/>
            <w:r w:rsidRPr="00C47C03">
              <w:rPr>
                <w:rFonts w:ascii="Bookman Old Style" w:hAnsi="Bookman Old Style"/>
              </w:rPr>
              <w:t xml:space="preserve"> security bond or mortgage deed executed by a surety to secure a loan or credit facility-of entry value.</w:t>
            </w:r>
          </w:p>
        </w:tc>
      </w:tr>
    </w:tbl>
    <w:p w14:paraId="36FBC941" w14:textId="77777777" w:rsidR="00C47C03" w:rsidRPr="00C47C03" w:rsidRDefault="00C47C03" w:rsidP="00AC1874">
      <w:pPr>
        <w:jc w:val="both"/>
        <w:rPr>
          <w:rFonts w:ascii="Bookman Old Style" w:hAnsi="Bookman Old Style" w:cs="Segoe UI"/>
          <w:color w:val="000000" w:themeColor="text1"/>
        </w:rPr>
      </w:pPr>
    </w:p>
    <w:p w14:paraId="57FC2C6D" w14:textId="1A14F362" w:rsidR="00AC1874" w:rsidRPr="00C47C03" w:rsidRDefault="00C47C03" w:rsidP="00D67553">
      <w:pPr>
        <w:jc w:val="both"/>
        <w:rPr>
          <w:rFonts w:ascii="Bookman Old Style" w:hAnsi="Bookman Old Style" w:cs="Segoe UI"/>
          <w:b/>
          <w:i/>
        </w:rPr>
      </w:pPr>
      <w:r>
        <w:rPr>
          <w:rFonts w:ascii="Bookman Old Style" w:hAnsi="Bookman Old Style" w:cs="Segoe UI"/>
          <w:i/>
        </w:rPr>
        <w:t xml:space="preserve">For more information, please </w:t>
      </w:r>
      <w:r w:rsidR="00AC1874" w:rsidRPr="00C47C03">
        <w:rPr>
          <w:rFonts w:ascii="Bookman Old Style" w:hAnsi="Bookman Old Style" w:cs="Segoe UI"/>
          <w:i/>
        </w:rPr>
        <w:t xml:space="preserve">contact any of our offices for assistance on toll free numbers; </w:t>
      </w:r>
      <w:r w:rsidR="00AC1874" w:rsidRPr="00C47C03">
        <w:rPr>
          <w:rFonts w:ascii="Bookman Old Style" w:hAnsi="Bookman Old Style" w:cs="Segoe UI"/>
          <w:b/>
          <w:i/>
        </w:rPr>
        <w:t>0800117000/0800217000</w:t>
      </w:r>
      <w:r w:rsidR="00AC1874" w:rsidRPr="00C47C03">
        <w:rPr>
          <w:rFonts w:ascii="Bookman Old Style" w:hAnsi="Bookman Old Style" w:cs="Segoe UI"/>
          <w:i/>
        </w:rPr>
        <w:t xml:space="preserve"> or WhatsApp: </w:t>
      </w:r>
      <w:r w:rsidR="00AC1874" w:rsidRPr="00C47C03">
        <w:rPr>
          <w:rFonts w:ascii="Bookman Old Style" w:hAnsi="Bookman Old Style" w:cs="Segoe UI"/>
          <w:b/>
          <w:i/>
        </w:rPr>
        <w:t>0772 140000</w:t>
      </w:r>
    </w:p>
    <w:p w14:paraId="004131CF" w14:textId="77777777" w:rsidR="00AC1874" w:rsidRPr="00C47C03" w:rsidRDefault="00AC1874" w:rsidP="00AC1874">
      <w:pPr>
        <w:rPr>
          <w:rFonts w:ascii="Bookman Old Style" w:hAnsi="Bookman Old Style"/>
          <w:b/>
        </w:rPr>
      </w:pPr>
    </w:p>
    <w:p w14:paraId="17E00298" w14:textId="5C3EE5AA" w:rsidR="006220E3" w:rsidRPr="00C47C03" w:rsidRDefault="006220E3">
      <w:pPr>
        <w:rPr>
          <w:rFonts w:ascii="Bookman Old Style" w:hAnsi="Bookman Old Style"/>
        </w:rPr>
      </w:pPr>
    </w:p>
    <w:p w14:paraId="46362948" w14:textId="77777777" w:rsidR="00AC1874" w:rsidRPr="00C47C03" w:rsidRDefault="00AC1874">
      <w:pPr>
        <w:rPr>
          <w:rFonts w:ascii="Bookman Old Style" w:hAnsi="Bookman Old Style"/>
        </w:rPr>
      </w:pPr>
    </w:p>
    <w:sectPr w:rsidR="00AC1874" w:rsidRPr="00C47C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6892"/>
    <w:multiLevelType w:val="hybridMultilevel"/>
    <w:tmpl w:val="C9DED7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31F9C"/>
    <w:multiLevelType w:val="hybridMultilevel"/>
    <w:tmpl w:val="3F5E83C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423A5"/>
    <w:multiLevelType w:val="hybridMultilevel"/>
    <w:tmpl w:val="5FA83FC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A65B9"/>
    <w:multiLevelType w:val="hybridMultilevel"/>
    <w:tmpl w:val="6024B408"/>
    <w:lvl w:ilvl="0" w:tplc="E8D4944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7443A"/>
    <w:multiLevelType w:val="hybridMultilevel"/>
    <w:tmpl w:val="31562EE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44"/>
    <w:rsid w:val="003B6AAE"/>
    <w:rsid w:val="00496EEA"/>
    <w:rsid w:val="005D7711"/>
    <w:rsid w:val="006220E3"/>
    <w:rsid w:val="00A47176"/>
    <w:rsid w:val="00AC1874"/>
    <w:rsid w:val="00B13A5E"/>
    <w:rsid w:val="00C47C03"/>
    <w:rsid w:val="00D05C44"/>
    <w:rsid w:val="00D67553"/>
    <w:rsid w:val="00E93014"/>
    <w:rsid w:val="00F2295B"/>
    <w:rsid w:val="00F3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1E6F1"/>
  <w15:chartTrackingRefBased/>
  <w15:docId w15:val="{F9DDC6C7-1584-406B-8C27-0CDCA4D0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87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874"/>
    <w:pPr>
      <w:ind w:left="720"/>
      <w:contextualSpacing/>
    </w:pPr>
  </w:style>
  <w:style w:type="table" w:styleId="TableGrid">
    <w:name w:val="Table Grid"/>
    <w:basedOn w:val="TableNormal"/>
    <w:uiPriority w:val="39"/>
    <w:rsid w:val="00AC187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Ziadi Kakeeto</dc:creator>
  <cp:keywords/>
  <dc:description/>
  <cp:lastModifiedBy>Ziadi Kakeeto</cp:lastModifiedBy>
  <cp:revision>6</cp:revision>
  <dcterms:created xsi:type="dcterms:W3CDTF">2023-06-07T08:15:00Z</dcterms:created>
  <dcterms:modified xsi:type="dcterms:W3CDTF">2023-06-10T17:20:00Z</dcterms:modified>
</cp:coreProperties>
</file>